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Пояснительная записка к докладу Главы   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C80F42">
        <w:rPr>
          <w:rFonts w:ascii="Times New Roman CYR" w:hAnsi="Times New Roman CYR" w:cs="Times New Roman CYR"/>
          <w:sz w:val="28"/>
          <w:szCs w:val="28"/>
        </w:rPr>
        <w:t>_______________</w:t>
      </w:r>
      <w:r w:rsidRPr="00C80F42">
        <w:rPr>
          <w:rFonts w:ascii="Times New Roman CYR" w:hAnsi="Times New Roman CYR" w:cs="Times New Roman CYR"/>
          <w:b/>
          <w:bCs/>
          <w:sz w:val="28"/>
          <w:szCs w:val="28"/>
          <w:u w:val="words"/>
        </w:rPr>
        <w:t>Канского района</w:t>
      </w:r>
      <w:r w:rsidRPr="00C80F42">
        <w:rPr>
          <w:rFonts w:ascii="Times New Roman CYR" w:hAnsi="Times New Roman CYR" w:cs="Times New Roman CYR"/>
          <w:sz w:val="28"/>
          <w:szCs w:val="28"/>
        </w:rPr>
        <w:t>______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C80F42">
        <w:rPr>
          <w:rFonts w:ascii="Times New Roman CYR" w:hAnsi="Times New Roman CYR" w:cs="Times New Roman CYR"/>
          <w:sz w:val="20"/>
          <w:szCs w:val="20"/>
        </w:rPr>
        <w:t>наименование городского округа (муниципального района)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br/>
        <w:t>городских округов</w:t>
      </w:r>
      <w:proofErr w:type="gramEnd"/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муниципальных районов </w:t>
      </w: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br/>
        <w:t>за 2017 год и их планируемых значениях на 3-летний период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Экономическое развитие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Число субъектов малого и среднего предпринимательства на 10000 человек населения в 2017 году составило 134,7 единиц, увеличилось на 25,47 единиц по сравнению с 2016 годом.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Значительное увеличение произошло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связи с увеличением количества ИП на 61 чел. и уменьшения численности населения на 226 чел. За 2017 год число субъектов малого и среднего предпринимательства составило 341 единицу, в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.: действующих организаций малого бизнеса - 64 ед. (больше на 1</w:t>
      </w:r>
      <w:r>
        <w:rPr>
          <w:rFonts w:ascii="Times New Roman CYR" w:hAnsi="Times New Roman CYR" w:cs="Times New Roman CYR"/>
          <w:sz w:val="28"/>
          <w:szCs w:val="28"/>
        </w:rPr>
        <w:t xml:space="preserve"> ед. по сравнению с 2016 годом)</w:t>
      </w:r>
      <w:r w:rsidRPr="00C80F42">
        <w:rPr>
          <w:rFonts w:ascii="Times New Roman CYR" w:hAnsi="Times New Roman CYR" w:cs="Times New Roman CYR"/>
          <w:sz w:val="28"/>
          <w:szCs w:val="28"/>
        </w:rPr>
        <w:t>, ИП - 272 чел. (увеличилось на 61 человек по сравнению с предыдущим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годом), КФХ, КХ - 3 ед. (осталось без изменения) и 2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средних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предприятия (количество осталось на уровне 2016 года).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Планируется, что до 2020 года число субъектов малого и среднего предпринимательства на 10000 человек населения увеличится на 3,73 единицы по сравнению с 2017 годом, и составит 138,43 единицы.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целях поддержки и развития малого и среднего предпринимательства на территории Канского района в 2017 году действовала муниципальная программа «Развитие малого и среднего предпринимательства, инвестиционной деятельности в Канском районе» (постановление администрации Канского района от 30.09.2016 № 431-пг), (далее – Программа).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За период</w:t>
      </w: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>январь-декабрь 2017 года при реализации мероприятий Программы по финансовой поддержке и проведению дня российского предпринимательства освоено средств местного и краевого бюджетов на общую сумму 449,94246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>руб.  (в 2016 году -  649,9092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>руб.) - это на 30,8% меньше по сравнению с предыдущим годом. Снижение данного показателя произошло в связи с предоставлением субсидии из краевого бюджета в два разе меньшем, чем администрацией было заявлено. Софинансирование мероприятий Программы из федерального бюджета в 2017 году отсутствовало.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По факту на 01.01.2018 года получили субсидии 3 субъекта малого бизнеса (в 2016 году – 4 субъекта) – меньше на 25%, чем в предыдущем году. Такое снижение показателя по сравнению с 2016 годом обусловлено уменьшением в два раза объема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за счет сре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аевого бюджета.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На 1 января 2018 года по результатам оказания финансовой поддержки субсидию получил 1 вновь созданный субъект малого предпринимательства.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итоге вместе с этим создано 3 новых рабочих места, сохранено 5 рабочих мест.  В рамках консультационной поддержки Центром «Одно окно» оказано 124 консультации гражданам и субъектам малого предпринимательства.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Инвестиции в основной капитал организаций малого бизнеса за счет реализации мероприятий Программы  за 12 месяцев 2017 года  составили  1720,2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руб., меньше на 5% меньше по сравнению с предыдущим годом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(в 2016 году – 1810,724 тыс. руб.).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2017 году составила 26,47%, что на 3,32 процентных пункта выше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сравнению с 2016 годом. Значительное увеличение данного показателя обусловлено увеличением численности работников на среднем предприятии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77 чел., количественного состава ИП и уменьшением среднесписочной численности работников крупных и средних предприятий (на 105 чел.).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За 2017 год среднесписочная численность работников у ИП составила 299 чел. (увеличилась на 28,8% по сравнению с 2016 годом), в организациях малого бизнеса - 703 чел. (увеличилась на 1,6% по отношению к 2016 году), на двух средних предприятиях - 366 чел. (больше на 26,6%, чем в 2016 году), в КФХ, КХ - 10 чел. (уменьшилось на одного человека по сравнению с предыдущим годом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). Планируется, что до 2020 года этот показатель увеличится на 0,14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процентных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пункта по сравнению с 2017 годом, и составит 26,61%.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Одним из показателей, характеризующих развитие экономики муниципального образования, является показатель инвестиционной активности – объём инвестиций в основной капитал.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общий объем инвестиций в основной капитал по крупным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средним организациям за счет всех источников финансирования составил      780 млн. 589 тыс. руб., темп роста объема инвестиций по сравнению с 2016 годом составляет 107,35% в действующих ценах и 104,94% в сопоставимых ценах. Из всего объема инвестиций  51,4% составили инвестиции, финансируемые за счет собственных средств организаций и  48,6% за счет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привлеченных средств; из всех привлеченных средств 65,5% - средства бюджета.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Увеличение объема инвестиций произошло за счет появления в 2017 году инвестиций по виду деятельности «обеспечение электрической энергией, газом и паром; кондиционирование воздуха» на 100% , «торговля оптовая и розничная; ремонт автотранспортных средств и мотоциклов» на 100%, а также за счет инвестиций по виду деятельности «транспортировка и хранение»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41,3%.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Из всего объема инвестиций 2017 года 41,9% инвестиций направленны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возведение зданий (кроме жилых) и сооружений, расходы на улучшение земель, 29,9% - машины, оборудование, включая хозяйственный инвентарь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другие объекты. Из всего объема инвестиций 96,8% инвестиций являются инвестициями  производственного назначения.  65,3% инвестиций производственного назначения использованы в отрасли сельского хозяйства; 30,2%  в  отрасли «Транспортировка и хранение»; 1,3%  в обрабатывающих производствах; 0,06% в отрасли «Добыча полезных ископаемых», 0,06% обеспечение электрической энергией, газом и паром, кондиционирование воздуха.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Увеличение финансирования инвестиций  за счет бюджета  на 163505 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руб.%,  по сравнению с 2016 годом. Темп роста в текущих ценах составил 291,97%,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сопоставимых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– 285,41%. Произошло увеличение объемов инвестиций по видам деятельности «деятельность в области здравоохранения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C80F42">
        <w:rPr>
          <w:rFonts w:ascii="Times New Roman CYR" w:hAnsi="Times New Roman CYR" w:cs="Times New Roman CYR"/>
          <w:sz w:val="28"/>
          <w:szCs w:val="28"/>
        </w:rPr>
        <w:t>и социальных услуг» и «деятельности в области культуры».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по крупным и средним организациям (за исключением бюджетных средств) в расчете на 1 человека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2017 году составил 20917,34 рублей. Данный показатель снизился на 16,41% по сравнению с 2016 годом в связи с увеличением объема инвестиций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основной капитал бюджетных средств</w:t>
      </w:r>
      <w:r w:rsidRPr="00C80F42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снижением среднегодовой численности населения  на 0,88%.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Планируемые значения по объемам инвестиций на период 2018-2020гг. составляют: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- 2018год – 808447,8 тыс. руб., темп роста по сравнению с 2017 составит 103,57% в действующих ценах и 99,11% в сопоставимых.  Повышение объема инвестиций  обусловлено увеличением объема инвестиций отрасли сельского хозяйства, увеличением объема инвестиций  по отрасли добычи полезных ископаемых, обрабатывающих производств, а также по виду деятельности «Транспортировка и хранение» (строительство и реконструкция участков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автомобильной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дороги М-53 «Байкал», на участке обход г. Канска).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объема инвестиций финансируемых за счет средств бюджета в 2018 году в общем объеме инвестиций  составит 30,69% (248131,2 тыс. руб.). Снижение  бюджетных инвестиций по сравнению с 2017 годом произойдет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550,8 тыс. руб. или 0,2%.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- в 2019 году – 2 661 267 тыс. руб., темп роста по сравнению с 2018 годом составит 329,18% в действующих ценах и 315,31% в сопоставимых ценах.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Объем инвестиций по видам деятельности прогнозируется с увеличением, рассчитанным по коэффициенту дефлятору 2019/2018, равному 1,044. В 2019 году прогнозируется увеличение по объему инвестиций, направляемых по виду деятельности «транспортировка и хранение», за счет увеличения инвестиций направляемых на (строительство и реконструкция участков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автомобильной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дороги М-53 «Байкал», на участке обход г. Канска).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объема инвестиций финансируемых за счет средств бюджета в 2019 году в общем объеме инвестиций  составит 75,29% (2 003 607 тыс. руб.). Увеличение бюджетных инвестиций по сравнению с 2018 годом произойдет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связи с увеличением объема инвестиций по виду деятельности «Транспортировка и хранение» %. (строительство и реконструкция участков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автомобильной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дороги М-53 «Байкал», на участке обход г. Канска) в 2019 году планируется увеличение по сравнению с 2018 годом на 1 784 531 тыс. руб.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- в  2020 году – 2 932 221 тыс. руб., теп роста по сравнению с 2019 годом составит 110,18% в действующих ценах и 105,84% в сопоставимых ценах.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Объем инвестиций по видам деятельности прогнозируется с увеличением, рассчитанным по коэффициенту дефлятору 2019/2018, равному 1,041. В 2019 году прогнозируется увеличение по объему инвестиций, направляемых по виду деятельности «транспортировка и хранение», за счет увеличения инвестиций направляемых на (строительство и реконструкция участков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автомобильной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дороги М-53 «Байкал», на участке обход г. Канска).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Доля объема инвестиций финансируемых за счет средств бюджета в 2020 году в общем объеме инвестиций  составит 79,75% (2 238 482 тыс. руб.). Увеличение бюджетных инвестиций по сравнению с 2019 годом произойдет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связи с увеличением объема инвестиций по виду деятельности «Транспортировка и хранение» %. (строительство и реконструкция участков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автомобильной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дороги М-53 «Байкал», на участке обход г. Канска) в 2020 году планируется увеличение по сравнению с 2019 годом на 334 079 тыс. руб.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Начиная, с  4 квартала  2015 года на территории Канского района  начали реализацию два инвестиционных проекта в отрасли сельского хозяйства.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настоящее время  на территории Канского района  реализуются два  инвестиционных проекта: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1) ОАО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Тайнинское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» реализуется инвестиционный проект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строительству фермы на 1150 голов по производству высококачественного молока на земельном участке  площадью 25 га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с.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Астафьевка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 Проектом предусмотрено: строительство зданий и сооружений 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с особенностями производственных процессов, с организацией и размещением объектов: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-производственных,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административно-хозяйственных.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Производственная зона включает 2 коровника по 575 голов КРС каждый, доильно-молочный блок с родильным отделением, здание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предлагуны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, три лагуны.</w:t>
      </w:r>
    </w:p>
    <w:p w:rsidR="00C80F42" w:rsidRPr="00C80F42" w:rsidRDefault="00C80F42" w:rsidP="00C80F4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Административно-хозяйственная зона включает кормоцех, силосно-сенажные траншеи, санитарный пропускник, закрытая стоянка для сельхозтехники. </w:t>
      </w:r>
    </w:p>
    <w:p w:rsidR="00C80F42" w:rsidRPr="00C80F42" w:rsidRDefault="00C80F42" w:rsidP="00C80F4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Сумма инвестиций проекта составит 459807,9 тыс. руб. (частные инвестиции), срок реализации  5 лет (2015-2020). В результате реализации проекта дополнительно  будет создано 15 новых рабочих мест.</w:t>
      </w:r>
    </w:p>
    <w:p w:rsidR="00C80F42" w:rsidRPr="00C80F42" w:rsidRDefault="00C80F42" w:rsidP="00C80F42">
      <w:pPr>
        <w:keepNext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Стадия реализации проекта  ОАО «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Тайнинское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»: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осуществлен выбор и отвод земельного участка;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подготовка проектно-сметной документации;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экспертиза проектно-сметной документации;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- 1 очередь строительства: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-ограждение территории фермы;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-строительство санитарного пропускника;</w:t>
      </w:r>
    </w:p>
    <w:p w:rsidR="00C80F42" w:rsidRPr="00C80F42" w:rsidRDefault="00C80F42" w:rsidP="00C80F4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-строительство закрытой стоянки для сельхозтехники.</w:t>
      </w:r>
    </w:p>
    <w:p w:rsidR="00C80F42" w:rsidRPr="00C80F42" w:rsidRDefault="00C80F42" w:rsidP="00C80F42">
      <w:pPr>
        <w:keepNext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2) ОАО «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Канская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Госсортстанция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» реализуется проект реконструкции молочного комплекса на 1100 голов дойного стада. Объем инвестиций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основной капитал за счет всех источников финансирован</w:t>
      </w:r>
      <w:r>
        <w:rPr>
          <w:rFonts w:ascii="Times New Roman CYR" w:hAnsi="Times New Roman CYR" w:cs="Times New Roman CYR"/>
          <w:sz w:val="28"/>
          <w:szCs w:val="28"/>
        </w:rPr>
        <w:t>ия в 2017 г. составил – 132 млн</w:t>
      </w:r>
      <w:r w:rsidRPr="00C80F42">
        <w:rPr>
          <w:rFonts w:ascii="Times New Roman CYR" w:hAnsi="Times New Roman CYR" w:cs="Times New Roman CYR"/>
          <w:sz w:val="28"/>
          <w:szCs w:val="28"/>
        </w:rPr>
        <w:t>. руб., из них 37,0 млн. руб. – собственный капитал, 95,0 млн. руб. – заемный капитал.</w:t>
      </w:r>
    </w:p>
    <w:p w:rsidR="00C80F42" w:rsidRPr="00C80F42" w:rsidRDefault="00C80F42" w:rsidP="00C80F42">
      <w:pPr>
        <w:keepNext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ходе реализации проекта осуществлены следующие мероприятия:</w:t>
      </w:r>
    </w:p>
    <w:p w:rsidR="00C80F42" w:rsidRPr="00C80F42" w:rsidRDefault="00C80F42" w:rsidP="00C80F42">
      <w:pPr>
        <w:keepNext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-I этап (2014 год) – приобретение комплекса, (декабрь 2015 г. – 2016 год) замена устаревшей трансформаторной подстанции линии электропередач, капитальный ремонт коровников и родильного отделения, приобретение отделения, приобретение оборудования (доильное, стойловое оборудование, резиновые маты).</w:t>
      </w:r>
    </w:p>
    <w:p w:rsidR="00C80F42" w:rsidRPr="00C80F42" w:rsidRDefault="00C80F42" w:rsidP="00C80F42">
      <w:pPr>
        <w:keepNext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-II этап (2017 год) – строительство административно-бытового корпуса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и доильно-молочного блока, монтаж оборудования, приобретение техники (тракторы, погрузчик фронтальный).</w:t>
      </w:r>
    </w:p>
    <w:p w:rsidR="00C80F42" w:rsidRPr="00C80F42" w:rsidRDefault="00C80F42" w:rsidP="00C80F42">
      <w:pPr>
        <w:keepNext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-III этап (2018 год) – приобретение племенного скота (нетелей), благоустройство территории, строительство животноводческих помещений для содержания сухостойных коров. </w:t>
      </w:r>
    </w:p>
    <w:p w:rsidR="00C80F42" w:rsidRPr="00C80F42" w:rsidRDefault="00C80F42" w:rsidP="00C80F42">
      <w:pPr>
        <w:keepNext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Несмотря на то, что все работы еще не завершены, комплекс начал функционировать в ноябре 2017 года. На 01.04.2018 г. поголовье дойного стада составило 298 голов. В целом поголовье КРС к концу 2018 года планируется увеличить на 500 голов, получить за 2018 год 3 350 тонн молока, 850 голов приплода. Выход на проектную мощность запланирован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2019 года.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01.04.2018 г. создано 37 рабочих мест, численность работающих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комплексе к моменту выхода на проектную мощность должна составить 50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человек. Среднемесячная заработная плата на текущий момент составляет 31 тыс. руб., рост в течени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2-х лет не менее 15%.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Расчет объема инвестиций в основной капитал (за исключением бюджетных средств) в расчете на 1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1484"/>
        <w:gridCol w:w="1662"/>
        <w:gridCol w:w="1799"/>
        <w:gridCol w:w="1941"/>
      </w:tblGrid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2017 факт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2018 оценка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2019 прогноз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2020 прогноз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780589,0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808447,8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2661267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2932221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Инвестиции в основной капитал за счет бюджетных средств, тыс. руб.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248682,0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248131,2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2003607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2338482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Объем инвестиций без бюджетных средств, тыс. руб. (стр.1 – стр. 2)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531907,0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560316,6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657660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593739,1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Среднегодовая численность населения, чел.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25429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25216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25027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24857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 в основной капитал (за исключением  бюджетных средств) в расчете на 1 человека населения, руб. 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( стр. 3/стр.4)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20917,34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22220,68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26278,01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23886,19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 площади территории района в 2017 году,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предоставленным сведениям сельских поселений Канского района  составила 37,51%., осталась на уровне 2016 года. По оценке в 2018 году увеличение показателя на 1%, по сравнению с 2017 годом, планируется, за счет оформления 1685 га бесхозяйных сельскохозяйственных земель, в собственность юридическими и физическими лицами. В  прогнозном периоде 2019-2020гг. доля площади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земельных участков, являющихся объектами налогообложения земельным налогом останется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на уровне 2018 года.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2C48A7" w:rsidRDefault="002C48A7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8A7" w:rsidRPr="00C80F42" w:rsidRDefault="002C48A7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lastRenderedPageBreak/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прибыльных сельскохозяйственных 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proofErr w:type="gramEnd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их числе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На 01.01.2018 г. на территории Канского района находятся предприятия, занятые производством сельскохозяйственной продукции – 35 единицы, из них: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Сельскохозяйственные предприятия, стоящие на самостоятельном балансе   – 9 единиц (ООО-2 ед., ЗАО – 1 ед., АО -1 ед., ОАО – 4 ед., СПК – 1ед.);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Крестьянско-фермерских хозяйств (далее-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К(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Ф)Х) – 1ед.;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Крестьянских хозяйств – 2 ед.;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Индивидуальных предпринимателей К (Ф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)Х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– 18 ед.;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Индивидуальных предпринимателей – 5 ед.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прибыльных сельскохозяйственных организаций, в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общем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 их числе, в 2017 году составила 88,89 %, из девяти сельскохозяйственных предприятий, стоящих на самостоятельном балансе 8 прибыльных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1575"/>
        <w:gridCol w:w="1261"/>
        <w:gridCol w:w="1624"/>
      </w:tblGrid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Значения показателя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2015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2016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2017 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1. </w:t>
            </w:r>
            <w:proofErr w:type="spellStart"/>
            <w:r w:rsidRPr="00C80F42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Кп</w:t>
            </w:r>
            <w:proofErr w:type="spellEnd"/>
            <w:r w:rsidRPr="00C80F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количество прибыльных организаций, (шт.)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2.</w:t>
            </w:r>
            <w:proofErr w:type="gramStart"/>
            <w:r w:rsidRPr="00C80F4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</w:t>
            </w:r>
            <w:proofErr w:type="gramEnd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общее количество сельскохозяйственных организаций, </w:t>
            </w:r>
            <w:r w:rsidRPr="00C80F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(шт.)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3. </w:t>
            </w:r>
            <w:r w:rsidRPr="00C80F4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</w:t>
            </w: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доля прибыльных сельскохозяйственных </w:t>
            </w:r>
            <w:proofErr w:type="gramStart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организаций</w:t>
            </w:r>
            <w:proofErr w:type="gramEnd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общем их числе  (стр. 1/ стр. 2*100)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72,73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90,0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88,89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2018-2020 годах прогнозируется, что убыточных сельскохозяйственных предприятий не будет и доля прибыльных предприятий достигнет 100%.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Реализуя статьи 3,6 Закона Красноярского края от 27.12.2005 года  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производства», отделом сельского хозяйства администрации района в 2017 году была проведена  работа по созданию условий для технологического и экономического развития сельскохозяйственного производства: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были организованы и проведены семинары – совещания с руководителями, специалистами  сельскохозяйственных предприятий, главами КФХ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по эффективному использованию пашни, внедрению ресурсосберегающих технологий возделывания  зерновых и кормовых культур;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семинар по применению минеральных удобрений;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 проведено совещание с руководителями с/х товаропроизводителями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по вопросу материально- технического обеспечения проведения весеннее - полевых работ;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совещание  с агрономами по заготовке и улучшению качества кормов;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- проведено совещание с руководителями с/х товаропроизводителями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по вопросу материально - технического обеспечения проведения уборочной кампании по сбору урожая;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семинар – учеба по вопросам  содержания, кормления крупного рогатого скота;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проведена переаттестация техников по искусственному осеменению сельскохозяйственных животных;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проведены семинары с руководителями и главными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зооветспециалистами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по вопросу перевода скота на летне-пастбищное содержание скота;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проведены взаимопроверки между хозяйствами района: по ходу подготовки техники к полевым работам, по подготовке к уборке урожая.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году подготовлен и проведен районный конкурс на лучшего по профессии среди операторов машинного доения.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в крупных и средних организациях района  количество КРС сократилось на 392 головы, в том числе коров увеличилось на 190 голов.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Производство молока в крупных и средних организациях района в 2017 году составило  62758,6 тонн, что к уровню 2016 года составляет  105,6% (+3488,1 тонн). Средний надой молока на 1 фуражную корову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сельскохозяйственных организациях  составил в 2017 году  6506 кг, что на 550 кг превышает уровень предыдущего года.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урожайность – в амбарном весе -17,2 ц/га, валовой сбор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амбарном весе – 879388,5 тонн.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2018 году по отрасли сельского хозяйства деятельность будет сосредоточена на увеличении объема продукции растениеводства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и животноводства.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Планируется довести производство зерна зерновых и зернобобовых культур в амбарном весе  до 135,0 тыс. тонн, получение урожайности  25 ц/га   при площади посева – 53849 га. Данные показатели будут достигнуты за счет: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расширения посевных площадей зерновых культур на 247 га;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посева элитными семенами не менее 3,5 % от общей площади посева;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проведение мероприятий по защите растений;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внесения минеральных удобрений не менее 850 т действующего вещества.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Для обновления основных фондов сельскохозяйственные товаропроизводители Канского района приобрели в 2017 году тракторов - 15 единиц, 8 единиц  зерноуборочных комбайнов.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связи с государственной поддержкой сельского хозяйства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и заинтересованностью хозяйств в получении высокой урожайности зерновых культур  будет возрастать потребность в элитных семенах.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2018 году планируется увеличение объемов продукции животноводства: производство молока  64013,8 тонн, увеличение производства молока –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1255,2 тонн (на 0,2 %), средний надой молока на 1 фуражную корову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сельскохозяйственных предприятиях планируется  увеличить до 6550 кг,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за счет: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сохранения маточного поголовья КРС;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совершенствования структуры кормового поля за счёт  внедрения посевов кукурузы и рапса, улучшения качества кормов, организации во всех хозяйствах зеленого конвейера.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-совершенствования технологии содержания за счет реконструкции животноводческих помещений,  и сбалансированного рациона кормления сельскохозяйственных животных.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2017 году составила 60,3%. Состояние автомобильных дорог на соответствие нормативным требованиям осуществляется визуально, 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с классификатором работ по ремонту.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Протяженность автомобильных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дорог общего пользования местного значения поселений Канского района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составляет 302,0 км. Средний срок службы автомобильных дорог составляет 20-25 лет, на протяжении всего периода дороги не ремонтировались, в связи, с чем дорожное полотно разрушается и перестает соответствовать нормативным требованиям.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настоящее время состояние автомобильных дорог Канского района протяженностью 189,3 км не соответствует нормативным требованиям, необходим ежегодный ремонт указанного дорожного полотна.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году был произведен ремонт автомобильных дорог общего пользования местного значения на сумму 14019,409 тыс. руб. протяженностью 4,297 км.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Понижение данного показателя в 2018-2020 годах запланировано в связи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ежегодным участием в программах, выделением денежных средств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проведением капитальных ремонтов автомобильных дорог общего пользования местного значения в прогнозном периоде.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общей численности населения городского округа (муниципального района)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На территории Канского района действует регулярное автобусное сообщение. Перевозкой пассажиров занимаются 2 перевозчика: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1 - государственное предприятие ГП КК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Канское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ПАТП» (муниципальная Программа перевозок)  и  1 индивидуальный предприниматель  (ИП Максимова –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Анцирь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) на коммерческой основе.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Транспортное обслуживание населения в рамках муниципальной программы - перевозка пассажиров автомобильным транспортом общего пользования по пригородным и междугородным внутрирайонным маршрутам Канского района, осуществляется ГП КК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Канское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ПАТП», с которым администрацией Канского района были заключены  договора с 2013г. по 2017г. Договор заключался по результатам проведения открытого конкурса на право реализации Программы перевозок пассажиров по маршрутам Канского района. В соответствии с утвержденной  Программой регулярных перевозок пассажиров на территории района перевозка пассажиров в 2017 году осуществлялась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19-ти пригородным и 4-ём междугородным внутрирайонным маршрутам.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Доля населения, проживающего в населенных пунктах, не имеющих регулярного автобусного сообщения с административным центром района (г. Канск), в общей численности населения района в 2016 году составляла 1,43%.  В 2017 году этот показатель составил 1,41%. По сравнению с 2016 годом  показатель снизился на 0,02 процентных пункта за счет изменения среднегодовой численности населения района и населенных пунктов, в которых отсутствует автобусное сообщение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Количество населенных пунктов Канского района, не имеющих автобусного сообщения с административным центром четыре (д.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Подояйск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д. Орловка,  д. Михайловка (Терский сельсовет), д.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Краснополянск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). По сравнению с прошлым годом произошло уменьшение на 1 ед.,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т.к. в населенном пункте д.  Михайловка Георгиевского сельсовета отсутствует население и,  в числе населенных пунктов, в которых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отсутствует автобусное сообщение не учитывается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216"/>
        <w:gridCol w:w="5670"/>
      </w:tblGrid>
      <w:tr w:rsidR="00C80F42" w:rsidRPr="00C80F42" w:rsidTr="00C80F42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proofErr w:type="gramStart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Населенный пункт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Среднегодовая численность населения, человек</w:t>
            </w:r>
          </w:p>
        </w:tc>
      </w:tr>
      <w:tr w:rsidR="00C80F42" w:rsidRPr="00C80F42" w:rsidTr="00C80F42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д. </w:t>
            </w:r>
            <w:proofErr w:type="spellStart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Подояйск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124</w:t>
            </w:r>
          </w:p>
        </w:tc>
      </w:tr>
      <w:tr w:rsidR="00C80F42" w:rsidRPr="00C80F42" w:rsidTr="00C80F42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д. Орловка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</w:tr>
      <w:tr w:rsidR="00C80F42" w:rsidRPr="00C80F42" w:rsidTr="00C80F42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д. Михайловка (</w:t>
            </w:r>
            <w:proofErr w:type="gramStart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Терский</w:t>
            </w:r>
            <w:proofErr w:type="gramEnd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с/с)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80F42" w:rsidRPr="00C80F42" w:rsidTr="00C80F42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д. </w:t>
            </w:r>
            <w:proofErr w:type="spellStart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Краснополянск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158</w:t>
            </w:r>
          </w:p>
        </w:tc>
      </w:tr>
      <w:tr w:rsidR="00C80F42" w:rsidRPr="00C80F42" w:rsidTr="00C80F42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359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По оценке в 2018-2020 гг. изменений  по  доле населения, проживающего в населенных пунктах, не имеющих регулярного автобусного сообщения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с административным центром, не произойдет.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2C48A7" w:rsidRPr="00C80F42" w:rsidRDefault="002C48A7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lastRenderedPageBreak/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крупных и средних предприятий и некоммерческих организаций городского округа (муниципального района)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в 2017 составила 22236,8 рублей, что на 8% номинально выше 2016.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По оценке в 2018 среднемесячная заработная плата номинально увеличится на 9,6% и составит 24371,50 руб., в основном за счет увеличения заработной платы работникам  бюджетной сферы (</w:t>
      </w:r>
      <w:r w:rsidRPr="00C80F42">
        <w:rPr>
          <w:rFonts w:ascii="Times New Roman CYR" w:hAnsi="Times New Roman CYR" w:cs="Times New Roman CYR"/>
          <w:kern w:val="36"/>
          <w:sz w:val="28"/>
          <w:szCs w:val="28"/>
        </w:rPr>
        <w:t xml:space="preserve">во исполнение </w:t>
      </w:r>
      <w:r w:rsidRPr="00C80F42">
        <w:rPr>
          <w:rFonts w:ascii="Times New Roman CYR" w:hAnsi="Times New Roman CYR" w:cs="Times New Roman CYR"/>
          <w:color w:val="000000"/>
          <w:spacing w:val="3"/>
          <w:kern w:val="36"/>
          <w:sz w:val="28"/>
          <w:szCs w:val="28"/>
        </w:rPr>
        <w:t xml:space="preserve">Указа Президента Российской Федерации </w:t>
      </w:r>
      <w:r>
        <w:rPr>
          <w:rFonts w:ascii="Times New Roman CYR" w:hAnsi="Times New Roman CYR" w:cs="Times New Roman CYR"/>
          <w:color w:val="000000"/>
          <w:spacing w:val="3"/>
          <w:kern w:val="36"/>
          <w:sz w:val="28"/>
          <w:szCs w:val="28"/>
        </w:rPr>
        <w:t xml:space="preserve">  </w:t>
      </w:r>
      <w:r w:rsidRPr="00C80F42">
        <w:rPr>
          <w:rFonts w:ascii="Times New Roman CYR" w:hAnsi="Times New Roman CYR" w:cs="Times New Roman CYR"/>
          <w:color w:val="000000"/>
          <w:spacing w:val="3"/>
          <w:kern w:val="36"/>
          <w:sz w:val="28"/>
          <w:szCs w:val="28"/>
        </w:rPr>
        <w:t>от 7 мая 2012 года N 597 "О мероприятиях по реализации государственной социальной политики"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работникам культуры, физической культуры, здравоохранения), работникам в сфере сельского хозяйства за счет увеличения МРОТ.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В прогнозном периоде среднемесячная номинальная начисленная заработная плата работников крупных и средних предприятий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некоммерческих организаций: в 2019 по сравнению с прошлым годом номинально увеличится на 7,0% и составит 26077,5 руб., в 2020 – номинально увеличится на 7,0% и составит 27903 рублей.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По данным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Крайстата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по видам экономической деятельности по крупным и средним предприятиям и организациям, самая высокая заработная плата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зарегистрирована в сфере связи – 43825 руб.,  транспорта – 33368 руб., отрасли добычи полезных ископаемых – 33068,9 руб., в сфере производства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распределении электроэнергии, газа и воды – 31695,2 рублей.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Самая низкая заработная плата сложилась  в сфере обрабатывающего производства - пищевых продуктов и переработки древесины – 18624,1 рублей.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отрасли сельского хозяйства среднемесячная начисленная заработная плата составила 21610,5 руб., что на 7,9 % выше, чем в 2016 году (20021,1 руб.).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На 01.01.2018 по данным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Крайстата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имелась просроченная задолженность по заработной плате работникам, по предприятию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АО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Мокрушенское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" 241 чел. в сумме 4251 тыс. рублей. С 01.07.2016 предприятие АО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Мокрушенское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" закрыто, и на основании Решения арбитражного суда от 05.07.2016 №А33-9119/2016 признано банкротом. Введена процедура конкурсного производства с 17.01.2017года и назначен конкурсный управляющий Лебедев Валерий Павлович.</w:t>
      </w:r>
    </w:p>
    <w:p w:rsidR="002C48A7" w:rsidRDefault="002C48A7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дошкольных образовательных учреждений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 в 2017 году составила 19 371,50 руб., что на 2,5% номина</w:t>
      </w:r>
      <w:r>
        <w:rPr>
          <w:rFonts w:ascii="Times New Roman CYR" w:hAnsi="Times New Roman CYR" w:cs="Times New Roman CYR"/>
          <w:sz w:val="28"/>
          <w:szCs w:val="28"/>
        </w:rPr>
        <w:t>льно выше 2016 года (17 2018,30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руб.). По оценке в 2018 году на 4% увеличится, за счет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увеличения оплаты труда работников бюджетной сферы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с 01.01.2018г.,  и в прогнозном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периоде в 2019-2020 годах – заработная плата останется на уровне 2018 года (20 146,40 руб.).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8.3.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общеобразовательных учреждений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работников муниципальных общеобразовательных учреждений в 2017 году составила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24</w:t>
      </w:r>
      <w:r w:rsidRPr="00C80F42">
        <w:rPr>
          <w:rFonts w:ascii="Times New Roman CYR" w:hAnsi="Times New Roman CYR" w:cs="Times New Roman CYR"/>
          <w:sz w:val="28"/>
          <w:szCs w:val="28"/>
        </w:rPr>
        <w:t>815,30 рублей, что на 3,2</w:t>
      </w:r>
      <w:r>
        <w:rPr>
          <w:rFonts w:ascii="Times New Roman CYR" w:hAnsi="Times New Roman CYR" w:cs="Times New Roman CYR"/>
          <w:sz w:val="28"/>
          <w:szCs w:val="28"/>
        </w:rPr>
        <w:t>% номинально выше 2016 года (24</w:t>
      </w:r>
      <w:r w:rsidRPr="00C80F42">
        <w:rPr>
          <w:rFonts w:ascii="Times New Roman CYR" w:hAnsi="Times New Roman CYR" w:cs="Times New Roman CYR"/>
          <w:sz w:val="28"/>
          <w:szCs w:val="28"/>
        </w:rPr>
        <w:t>037,10 руб.).</w:t>
      </w: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оценке в 2018 году на 4% увеличится, за счет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увеличения оплаты труда работников бюджетной сферы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с 01.01.2018г., и в прогнозном периоде 2019-2020 годы среднемесячная номинальная начисленная заработная плата работников муниципальных общеобразовательных учреждений ос</w:t>
      </w:r>
      <w:r w:rsidR="00900B20">
        <w:rPr>
          <w:rFonts w:ascii="Times New Roman CYR" w:hAnsi="Times New Roman CYR" w:cs="Times New Roman CYR"/>
          <w:sz w:val="28"/>
          <w:szCs w:val="28"/>
        </w:rPr>
        <w:t>танется на уровне 2018 года (25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807,90 руб.). В том числе среднемесячная номинальная начисленная заработная плата учителей в 2017 году уменьшилась, на 8,4% по сравнению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900B20">
        <w:rPr>
          <w:rFonts w:ascii="Times New Roman CYR" w:hAnsi="Times New Roman CYR" w:cs="Times New Roman CYR"/>
          <w:sz w:val="28"/>
          <w:szCs w:val="28"/>
        </w:rPr>
        <w:t>с 2016г. (34</w:t>
      </w:r>
      <w:r w:rsidRPr="00C80F42">
        <w:rPr>
          <w:rFonts w:ascii="Times New Roman CYR" w:hAnsi="Times New Roman CYR" w:cs="Times New Roman CYR"/>
          <w:sz w:val="28"/>
          <w:szCs w:val="28"/>
        </w:rPr>
        <w:t>449,10 руб.) за счет свободных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ставок учителей и составила 31535,70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рублей. По оценке в 2018 году на 4% увеличится  за счет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увеличения оплаты труда работников бюджетной сферы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от 01.01.2018г., и в прогнозном периоде 2019-2020 годы заработная плата учителям останется на уровне 2018 года. (32 797,10 руб.).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8.4.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учреждений культуры и искусства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 CYR" w:hAnsi="Arial CYR" w:cs="Arial CYR"/>
          <w:b/>
          <w:bCs/>
          <w:kern w:val="36"/>
          <w:sz w:val="20"/>
          <w:szCs w:val="20"/>
        </w:rPr>
      </w:pPr>
      <w:r w:rsidRPr="00C80F42">
        <w:rPr>
          <w:rFonts w:ascii="Times New Roman CYR" w:hAnsi="Times New Roman CYR" w:cs="Times New Roman CYR"/>
          <w:kern w:val="36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в 2017 году составила 19077,2 рублей, что на 19,7% номинально выше 2016 года (15932,1 руб.). </w:t>
      </w:r>
      <w:r w:rsidR="00900B20">
        <w:rPr>
          <w:rFonts w:ascii="Times New Roman CYR" w:hAnsi="Times New Roman CYR" w:cs="Times New Roman CYR"/>
          <w:kern w:val="36"/>
          <w:sz w:val="28"/>
          <w:szCs w:val="28"/>
        </w:rPr>
        <w:t xml:space="preserve">                  </w:t>
      </w:r>
      <w:proofErr w:type="gramStart"/>
      <w:r w:rsidRPr="00C80F42">
        <w:rPr>
          <w:rFonts w:ascii="Times New Roman CYR" w:hAnsi="Times New Roman CYR" w:cs="Times New Roman CYR"/>
          <w:kern w:val="36"/>
          <w:sz w:val="28"/>
          <w:szCs w:val="28"/>
        </w:rPr>
        <w:t xml:space="preserve">В сентябре 2017, во исполнение </w:t>
      </w:r>
      <w:r w:rsidRPr="00C80F42">
        <w:rPr>
          <w:rFonts w:ascii="Times New Roman CYR" w:hAnsi="Times New Roman CYR" w:cs="Times New Roman CYR"/>
          <w:color w:val="000000"/>
          <w:spacing w:val="3"/>
          <w:kern w:val="36"/>
          <w:sz w:val="28"/>
          <w:szCs w:val="28"/>
        </w:rPr>
        <w:t xml:space="preserve">Указа Президента Российской Федерации </w:t>
      </w:r>
      <w:r w:rsidR="00900B20">
        <w:rPr>
          <w:rFonts w:ascii="Times New Roman CYR" w:hAnsi="Times New Roman CYR" w:cs="Times New Roman CYR"/>
          <w:color w:val="000000"/>
          <w:spacing w:val="3"/>
          <w:kern w:val="36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color w:val="000000"/>
          <w:spacing w:val="3"/>
          <w:kern w:val="36"/>
          <w:sz w:val="28"/>
          <w:szCs w:val="28"/>
        </w:rPr>
        <w:t>от 7 мая 2012 года N 597 "О мероприятиях по реализации государственной социальной политики", была п</w:t>
      </w:r>
      <w:r w:rsidRPr="00C80F42">
        <w:rPr>
          <w:rFonts w:ascii="Times New Roman CYR" w:hAnsi="Times New Roman CYR" w:cs="Times New Roman CYR"/>
          <w:kern w:val="36"/>
          <w:sz w:val="28"/>
          <w:szCs w:val="28"/>
        </w:rPr>
        <w:t>овышена заработная плата работников муниципальных учреждений культуры и искусства, в связи с этим, в 2018 году прогнозируется рост заработной платы работников муниципальных учреждений культуры и искусства на 32,5% от 2017 года, и она составит 25270,30 руб</w:t>
      </w:r>
      <w:proofErr w:type="gramEnd"/>
      <w:r w:rsidRPr="00C80F42">
        <w:rPr>
          <w:rFonts w:ascii="Times New Roman CYR" w:hAnsi="Times New Roman CYR" w:cs="Times New Roman CYR"/>
          <w:kern w:val="36"/>
          <w:sz w:val="28"/>
          <w:szCs w:val="28"/>
        </w:rPr>
        <w:t xml:space="preserve">. </w:t>
      </w:r>
      <w:r w:rsidR="00900B20">
        <w:rPr>
          <w:rFonts w:ascii="Times New Roman CYR" w:hAnsi="Times New Roman CYR" w:cs="Times New Roman CYR"/>
          <w:kern w:val="36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kern w:val="36"/>
          <w:sz w:val="28"/>
          <w:szCs w:val="28"/>
        </w:rPr>
        <w:t>В прогнозируемом периоде 2019-2020 годы увеличение заработной платы работникам муниципальных учреждений культуры и искусства не планируется.</w:t>
      </w:r>
      <w:r w:rsidRPr="00C80F42">
        <w:rPr>
          <w:rFonts w:ascii="Arial CYR" w:hAnsi="Arial CYR" w:cs="Arial CYR"/>
          <w:b/>
          <w:bCs/>
          <w:kern w:val="36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8.5.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учреждений физической культуры и спорта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Канском районе дополнительную образовательную деятельность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сфере физической культуры и спорта оказывают муниципальные учреждения ДЮСШ «Олимпиец» и ДЮСШ "Барс".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16"/>
          <w:szCs w:val="16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За 2017 год номинальная начисленная заработная плата работников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ДЮСШ "Олимпиец" и ДЮСШ "Барс" составила 20452,5 рублей увеличилась на 36,5% по сравнению с 2016 годом, за счет увеличения заработной платы работникам в данной сфере, </w:t>
      </w:r>
      <w:r w:rsidRPr="00C80F42">
        <w:rPr>
          <w:rFonts w:ascii="Times New Roman CYR" w:hAnsi="Times New Roman CYR" w:cs="Times New Roman CYR"/>
          <w:kern w:val="36"/>
          <w:sz w:val="28"/>
          <w:szCs w:val="28"/>
        </w:rPr>
        <w:t xml:space="preserve">во исполнение </w:t>
      </w:r>
      <w:r w:rsidRPr="00C80F42">
        <w:rPr>
          <w:rFonts w:ascii="Times New Roman CYR" w:hAnsi="Times New Roman CYR" w:cs="Times New Roman CYR"/>
          <w:color w:val="000000"/>
          <w:spacing w:val="3"/>
          <w:kern w:val="36"/>
          <w:sz w:val="28"/>
          <w:szCs w:val="28"/>
        </w:rPr>
        <w:t>Указа Президента Российской Федерации от 7 мая 2012 года N 597 "О мероприятиях по реализации государственной социальной политики".</w:t>
      </w:r>
      <w:proofErr w:type="gramEnd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По оценке в 2018 году средняя заработная плата увеличится на 4%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составит 21270,6 рублей, в прогнозном периоде 2019-2020 годы увеличение заработной платы работникам в сфере физической культуры и спорта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не планируется, останется на уровне 2018 года.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Дошкольное образование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Дошкольное образование является фундаментом единой районной образовательной системы, её первоначальным звеном.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На территории Канского района сохранена сеть дошкольного образования, продолжают функционировать 28 дошкольных образовательных учреждений.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Вариативные формы дошкольного образования представлены  группой кратковременного пребывания для детей, не посещающих ДОУ, на базе МБОУ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Арефьевская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основная общеобразовательная школа», что позволяет увеличить охват детей  дошкольным образованием.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в 2017 году составила 51,4%. По сравнению с 2016 годом данный показатель увеличился </w:t>
      </w:r>
      <w:r w:rsidR="00900B2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на 1,7%. По оценке в 2018 году и прогнозном периоде 2019-2020 гг. планируется увеличение данного показателя за счет доукомплектования</w:t>
      </w:r>
      <w:proofErr w:type="gramEnd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существующих дошкольных учреждений.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Доля детей в возрасте 1-6 лет, состоящих на учете для определения</w:t>
      </w:r>
      <w:r w:rsidR="00900B2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муниципальные дошкольные образовательные учреждения, в общей численности детей в возрасте 1-6 лет в 2017 году составила 0,61%. </w:t>
      </w:r>
      <w:r w:rsidR="00900B2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сравнению с 2016 годом данный показатель увеличился на 0,11% процентных пункта. Увеличение данного показателя произошло за счет увеличения численности детей в возрасте от 0 до 3-х лет. По оценке в 2018 году </w:t>
      </w:r>
      <w:r w:rsidR="00900B2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и прогнозном периоде 2019-2020 гг. планируется уменьшение данного показателя за счет доукомплектования групп в дошкольных организациях.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конец отчетного периода в Канском районе функционировало </w:t>
      </w:r>
      <w:r w:rsidR="00900B2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29 дошкольных образовательных организаций, закрытия и введения новых дошкольных образовательных организаций в течение года не было.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В 2017 году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составила 14,29%.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на 13,31% меньше, чем </w:t>
      </w:r>
      <w:r w:rsidR="00900B2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в 2016 году. По оценке в 2018 году и прогнозном периоде 2019-2020 гг. планируется снижение данного показателя в результате проведения ремонтных мероприятий и приведения дошкольных учреждений в соответствие с новыми санитарными нормами и правилами.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состоянию </w:t>
      </w:r>
      <w:proofErr w:type="gramStart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на конец</w:t>
      </w:r>
      <w:proofErr w:type="gramEnd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2017 года требуют капитального ремонта следующие  четыре дошкольных образовательных организаций: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МБДОУ «Большеуринский детский сад»;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МБДОУ «Филимоновский детский сад»;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МБДОУ «Верх-Амонашенский детский сад»;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МБДОУ «</w:t>
      </w:r>
      <w:proofErr w:type="spellStart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Тарайский</w:t>
      </w:r>
      <w:proofErr w:type="spellEnd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детский сад»;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году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учреждений, составила 2,97 %, что на 4,65 процентных пункта ниже уровня 2016 года. В 2017 году не получили аттестат о среднем общем образовании 3 выпускника, в 2016 число не получивших аттестат составило 8 выпускников. Улучшение данного показателя объясняется целенаправленной работой по  повышению качества образования.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в 2017 году увеличилась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на 1,13 процентных пункта по сравнению с 2016 годом.  В последующие годы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планируется продолжить оснащение учебным оборудованием и приведение образовательных учреждений в соответствие с требованиями надзорных органов.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1.МБОУ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Анцирская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СОШ»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ребуется проведение капитального ремонта;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2. МБОУ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Большеуринская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СОШ»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ребуется проведение капитального ремонта;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3.МБОУ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Красномаяковская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СОШ»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ребуется проведение капитального ремонта;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4.МБОУ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Таеженская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СОШ»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ребуется проведение капитального ремонта;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5.МБОУ «Амонашенская ООШ» - отсутствие водопровода, водоотведения, теплых туалетов;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6. МБОУ «Краснокурышинская ООШ» - отсутствие теплых туалетов.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уменьшился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0,62 процентных пункта по сравнению с 2016 годом. В 2017 году признана аварийной Муниципальное бюджетное  общеобразовательное учреждение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Большеуринская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 средняя общеобразовательная школа".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Требуется капитальный ремонт школ: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Муниципальное бюджетное  общеобразовательное учреждение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Таеженская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средняя общеобразовательная школа",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Муниципальное бюджетное  общеобразовательное учреждение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Анцирская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средняя  общеобразовательная школа",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Муниципальное бюджетное  общеобразовательное учреждение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Красномаяковская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средняя общеобразовательная школа".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80F42">
        <w:rPr>
          <w:rFonts w:ascii="Arial CYR" w:hAnsi="Arial CYR" w:cs="Arial CYR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детей первой и второй групп здоровья, в общей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численности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обучающихся в муниципальных общеобразовательных учреждениях, в 2017 году увеличилась  на 2,28 процентных пункта по сравнению с 2016 годом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и составила 84,85%. В прогнозном периоде планируется небольшой прирост показателя.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lastRenderedPageBreak/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C80F42" w:rsidRPr="00C80F42" w:rsidRDefault="00C80F42" w:rsidP="00900B2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Arial CYR" w:hAnsi="Arial CYR" w:cs="Arial CYR"/>
          <w:sz w:val="20"/>
          <w:szCs w:val="20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доля обучающихся в муниципальных общеобразовательных учреждениях, занимающихся во вторую смену, в общей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численности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обучающихся в муниципальных общеобразовательных учреждениях, уменьшилась на 0,36 процентных пункта по сравнению с 2016 годом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составила 0,48%. Во вторую смену занималось Муниципальное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бюджетное общеобразовательное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>учреждение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Степняковская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средняя общеобразовательная школа». В перспективе,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во вторую смену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80F42">
        <w:rPr>
          <w:rFonts w:ascii="Times New Roman CYR" w:hAnsi="Times New Roman CYR" w:cs="Times New Roman CYR"/>
          <w:sz w:val="28"/>
          <w:szCs w:val="28"/>
        </w:rPr>
        <w:t>не планируется.</w:t>
      </w:r>
    </w:p>
    <w:p w:rsidR="00C80F42" w:rsidRPr="00C80F42" w:rsidRDefault="00C80F42" w:rsidP="00900B2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общее образование</w:t>
      </w:r>
      <w:r w:rsidR="00900B2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расчете на 1 обучающегося в муниципальных общеобразовательных учреждениях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Расходы бюджета муниципального образования на общее образование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расчете на 1 обучающегося в муниципальных общеобразовательных учреждениях 2017 году составили 25640,00 руб. за счет средств местного бюджета по оценке 2018 году в прогнозном периоде 2019-2020 годы останется на уровне 2017 года.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формы собственности, в общей численности детей данной возрастной группы, в 2017 году по сравнению с 2016 годом возросла на 1,2% и составила 92,0%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от общей численности детей в возрасте от 5 до 18 лет.</w:t>
      </w:r>
      <w:proofErr w:type="gramEnd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Прогноз на 2020 год – 92,8% от общей численности детей в возрасте от 5 до 18 лет.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</w:p>
    <w:p w:rsidR="00C80F42" w:rsidRPr="00C80F42" w:rsidRDefault="00C80F42" w:rsidP="00C80F42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Основными направлениями работы учреждений культуры являются организация досуга населения, развитие самодеятельного художественного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декоративно-прикладного творчества, просветительская деятельность.                         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На 1 января 2018 года в Домах культуры и клубах работают 284 клубных формирований по различным направлениям, в которых занимаются 2897 человек, из них для детей и молодежи работает 209 клубных формирований,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в которых заняты   2114 человек детей и молодежи. Это хореографические, фольклорные, музыкальные, театральные формирования, оркестры народных инструментов,  кружки декоративно-прикладного творчества и др.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было проведено 8271 культурно-досуговых мероприятий, которые посетили 289347 человек. Для детей и молодежи провели 5992 мероприятий, на которых присутствовало 120715 человек детей и молодежи. Платные услуги составили 1289300 рублей.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Киноустановками  было проведено 127 киносеансов их посетило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1488 человек.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right="246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организацией работы с читателями занимались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25 муниципальных библиотек Канского района. 21 библиотека в составе МКУК ЦБС Канского района (с 01.12.2017 года по 01.09.2017 года),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1 библиотека в составе МБУК «ЦКС Верх-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Амонашенского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сельсовета»,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22 библиотеки с 01.09.2017 года в составе МКУК ЦБС Канского района. </w:t>
      </w:r>
    </w:p>
    <w:p w:rsidR="00C80F42" w:rsidRPr="00C80F42" w:rsidRDefault="00C80F42" w:rsidP="00C80F4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составе МКУК «Библиотечное объединение администрации Терского сельсовета» 3 библиотеки: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Бошняковская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Терская 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Красномаяковская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поселенческая библиотека. </w:t>
      </w:r>
    </w:p>
    <w:p w:rsidR="00C80F42" w:rsidRPr="00C80F42" w:rsidRDefault="00C80F42" w:rsidP="00C80F4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читателями библиотек стали 13475 человек (+63 к 2016 году), число посещений составило 101152 (+1494 к 2016 году), книговыдача – 270133 (+1093 к прошлому году).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сравнении с 2016 годом перевыполнены показатели по библиотечному обслуживанию детей и читателей юношеского возраста. В 2017 году читателями библиотек стали 5021 человек детской  категории (+32 к 2016 году), число посещений детей составило 38298 (+415 к 2016 году), книговыдача детской литературы – 126171 (+490 к прошлому году).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читателями библиотек стали 2226 человек молодежной категории (с +87 к 2016 году), число посещений составило 6284 (+232 к 2016 году), книговыдача – 27621 (+263 к прошлому году).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Процент охвата населения библиотечным обслуживанием составил 53 %.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По итогам 2017 года объем фонда уменьшился на 11234 экземпляра, что объясняется  большим выбытием литературы в фондах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Красномаяковской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Терской 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Бошняковской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 библиотеках, принятых в ЦБС Канского района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2018 году.  Также это связано с закрытием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Тайнинской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библиотеки – филиала, фонд которой был передан вновь созданной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Степняковской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библиотеке,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40 % книжного фонда было списано по разным причинам, так как он устарел физически и морально.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В районе 7 творческих коллективов имеют звание «Народный»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4 детских коллектива носят звание «Образцовый», где занимаются дети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от 7 до 17 лет. Это ансамбль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Чечеульские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гармонисты» Детской школы искусств 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ечеул, детский театральный коллектив «Веселые картинки» Дома культуры «Современник»,   хореографический детский ансамбль «Эра» Дома культуры с. Красный Маяк,  детский фольклорный ансамбль «Росинка»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Филимоновского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Дома культуры «Современник».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Знаковыми мероприятиями, проведенными работниками культуры района в 2017 году являются «Краса района», районная новогодняя елка для детей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с ограниченными возможностями, районный конкурс-смотр  «Таланты земли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Канской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», Районный праздник «День сельскохозяйственного работника», «День мудрости», которые уже давно стали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брэндовыми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 для территории нашего района.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Лучшими коллективами района можно смело назвать певческие коллективы «Голубица» районного Дома культуры «Современник», «Русские напевы», «Народный хор» - Большая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Уря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; «Реченька»  -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Чечеул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; хореографические коллективы: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«Эра» - Красный Маяк; «Росинка» - ДК «Современник», «Изюминка» -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Чечеул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,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Чечеульские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гармонисты» и т.д.</w:t>
      </w:r>
      <w:proofErr w:type="gramEnd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Дома культуры  делают упор на то, чтобы привлечь население в клубы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интересам, на мероприятия и кружки. Так в Доме культуры «Современник»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.Ф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илимоново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 продолжает работу кружок юного осветителя «Светлячок»,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В-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Амонаше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клуб ветеранов «Земляки» и пять лет работает клуб «Содействие». Девиз этого клуба «Спешите делать добрые дела». С помощью участников клуба  проводятся различные массовые мероприятия. Оказывается помощь малоимущим семьям, детям, находящимся в социально-опасном положении. Клуб «Содействие» помогает привлекать граждан к участию в массовых мероприятиях - особенно упор делается на привлечение детей вместе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с родителями.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В целях реализации и выполнения поставленных задач в постановлениях и Программах администрации Канского района «О совместной работе отделов администрации Канского района», отдел по культуре, спорту и делам молодежи  планирует работу совместно с отделами: здравоохранения, проводят лекции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беседы, киновечера, вечера встречи по вопросам наркомании, СПИДа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табакокурения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с управлением образования планирует и проводит работу 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дни летних каникул – КВН, утренники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, смотры детских художественных коллективов, спортивные состязания. С управлением сельского хозяйства ежегодно проводится слет передовиков «Хозяева земли». В районе во многих хозяйствах проводится праздник «День животновода». Во всех этих праздниках и конкурсах задействованы художественные коллективы учреждений культуры Канского района. Совместно с отделом соцзащиты, районным советом ветеранов, клубами ветеранов проводятся вечера встречи с ветеранами войны</w:t>
      </w:r>
      <w:r w:rsidR="00900B2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труда, голубые огоньки, встречи за чашкой чая, мастер классы для детей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молодежи с ограниченными возможностями.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систему учреждений культуры Муниципального Образования Канский район входит 52 учреждения клубного типа, 15 сельских Домов культуры,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35 сельских клубов и 2 автоклуба. </w:t>
      </w:r>
    </w:p>
    <w:p w:rsidR="00C80F42" w:rsidRPr="00C80F42" w:rsidRDefault="00C80F42" w:rsidP="00C80F42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В районе работают:</w:t>
      </w:r>
    </w:p>
    <w:p w:rsidR="00C80F42" w:rsidRPr="00C80F42" w:rsidRDefault="00C80F42" w:rsidP="00C80F42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- 25 библиотек, объединённых в муниципальное казенное учреждение культуры «Централизованная библиотечная система Канского района»; </w:t>
      </w:r>
    </w:p>
    <w:p w:rsidR="00C80F42" w:rsidRPr="00C80F42" w:rsidRDefault="00C80F42" w:rsidP="00C80F42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- 3 учреждения дополнительного образования детей (детская школа искусств);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- 3 киноустановки. 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клубами и учреждениями клубного типа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Показатель обеспеченности учреждениями культуры  за 2017 год составляет  339,7% от нормативной потребности.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Показатель в 2017 году  рассчитан согласно</w:t>
      </w:r>
      <w:r w:rsidRPr="00C80F42">
        <w:rPr>
          <w:rFonts w:ascii="Arial CYR" w:hAnsi="Arial CYR" w:cs="Arial CYR"/>
          <w:color w:val="000000"/>
          <w:sz w:val="23"/>
          <w:szCs w:val="23"/>
        </w:rPr>
        <w:t> 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распоряжения Минкультуры России от 02.08.2017 N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поэтому значительно отличается от показателя за 2016 </w:t>
      </w:r>
      <w:proofErr w:type="gramStart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год</w:t>
      </w:r>
      <w:proofErr w:type="gramEnd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который составлял 100% 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библиотеками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библиотеками от нормативной потребности в 2017 году составил 73,5 процента, увеличился по сравнению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2016 годом на 25,4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процентных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пункта. Такое значительное увеличение произошло в связи с тем, что в текущем году данный показатель рассчитан согласно</w:t>
      </w:r>
      <w:r w:rsidRPr="00C80F42">
        <w:rPr>
          <w:rFonts w:ascii="Calibri" w:hAnsi="Calibri" w:cs="Calibri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распоряжению Минкультуры России от 02.08.2017 N Р-965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В отчетах за 2016 г. уровень фактической обеспеченности муниципальных библиотек от нормативной потребности был рассчитан согласно распоряжению Правительства РФ от 19.10.1999 № 1683-р «Социальные нормативы и нормы» и со</w:t>
      </w:r>
      <w:r w:rsidR="00D707E4">
        <w:rPr>
          <w:rFonts w:ascii="Times New Roman CYR" w:hAnsi="Times New Roman CYR" w:cs="Times New Roman CYR"/>
          <w:sz w:val="28"/>
          <w:szCs w:val="28"/>
        </w:rPr>
        <w:t>с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тавлял 48,1%.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парками культуры и отдыха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На территории Канского района нет парков культуры и отдыха. Уровень фактической обеспеченности парками культуры и отдыха от нормативной потребности равен 0 процентов.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07E4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общем количестве муниципальных учреждений культуры</w:t>
      </w:r>
    </w:p>
    <w:p w:rsidR="00D707E4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Доля муниципальных учреждений культуры, здания которых находятся</w:t>
      </w:r>
    </w:p>
    <w:p w:rsidR="00C80F42" w:rsidRPr="00C80F42" w:rsidRDefault="00C80F42" w:rsidP="00D707E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в аварийном состоянии или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требуют капитального ремонта в общем количестве муниципальных учреждений культуры составило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за 2017 год 45,57% (в 2016 году – 46,25%). В 2017 году был произведен капитальный ремонт крыши здания Астафьевского ДК. Признаны аварийными 2 здания клуба: сельский клуб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айна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Дом культуры с. Георгиевка. Необходимо строительство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модульных клубов в д. Тайна на 50 мест,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с. Георгиевка на 100 мест. Капитальный ремонт требуется в 23 зданиях учреждений культуры,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12 помещениях библиотек, в 1 здании учреждения дополнительного образования детей (детская школа искусств).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В 2018 году 1 учреждение культуры участвовало в конкурсном отборе в государственной программе Красноярского края «Развитие культуры и туризма» по мероприятиям «Капитальный ремонт и реконструкция, в том числе замена инженерного оборудования и выполнение мероприятий по обеспечению пожарной безопасности, зданий и помещений, в которых размещены учреждения культурно - досугового типа, а также в одном здании с учреждениями культурно-досугового типа находится библиотека».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Учреждение по конкурсу не прошло.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2018-2020 году планируется увеличение данного показателя до 48,00%  в связи с тем, что в январе месяце 2018 года  при пожаре полностью утрачено здание клуба д. Малые пруды Филиала №4 «Большеуринский Дом культуры» МБУК «МКС» Канского района.</w:t>
      </w:r>
    </w:p>
    <w:p w:rsidR="00C80F42" w:rsidRPr="00C80F42" w:rsidRDefault="00C80F42" w:rsidP="00D707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   На территории Канского района находится 14 объектов культурного наследия.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составляет 0 %, так как на территории Канского района нет объектов культурного наследия, находящихся в муниципальной собственности.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Times New Roman CYR" w:hAnsi="Times New Roman CYR" w:cs="Times New Roman CYR"/>
          <w:sz w:val="24"/>
          <w:szCs w:val="24"/>
        </w:rPr>
        <w:t> </w:t>
      </w: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</w:t>
      </w:r>
    </w:p>
    <w:p w:rsidR="00C80F42" w:rsidRPr="00C80F42" w:rsidRDefault="00C80F42" w:rsidP="00C80F4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Канском районе функционируют две спортивных школы: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ДЮСШ «Олимпиец» (с 01 января 2018 г.  МБУ СШ «Олимпиец»)  и МБОУ ДО ДЮСШ «Барс», в которых занимаются 351 воспитанник  на 5 отделениях в ДЮСШ "Олимпиец" по видам спорта: волейбол, баскетбол, футбол, вольная борьба, лыжные гонки и 6 отделений в ДЮСШ "Барс": спортивный туризм, хоккей,  футбол (мини-футбол), легкая атлетика, спортивная аэробика и пауэрлифтинг. </w:t>
      </w:r>
      <w:proofErr w:type="gramEnd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В Канском районе активно развиваются  16 видов спорта: футбол летний и зимний, хоккей с мячом, хоккей зимний (ринк-бенди), баскетбол, лапта, городошный спорт, легкая атлетика,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дартс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стритбол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, гиревой спорт, перетягивание каната, настольный теннис, шахматы, армрестлинг, женский волейбол, мужской волейбол.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В последние годы в районе стали развивать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2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новых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вида спорта  - 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мультиспорт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фаербол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было проведено более 73 спортивно-массовых мероприятий по  видам спорта. 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В Канском районе сложилась определенная система развития физической культуры и массового спорта, достигнуты значительные успехи спортсменов района на краевом  и международном уровнях в таких видах спорта, как хоккей, ринк-бенди, футбол летний и зимний,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полиатлон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баскетбол, рукопашный бой, лыжные гонки городошный спорт, семейные старты, армрестлинг и гиревой спорт. </w:t>
      </w:r>
      <w:proofErr w:type="gramEnd"/>
    </w:p>
    <w:p w:rsidR="00C80F42" w:rsidRPr="00C80F42" w:rsidRDefault="00C80F42" w:rsidP="00C80F4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Активно развивается в Канском районе  и спорт ветеранов.  За последние три года  ветераны стали чемпионами по городошному спорту на краевом уровне, победителями зональных соревнований полуфинальных игр по ринк-бенди, мини-футболу,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полиатлону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, рукопашному бою. </w:t>
      </w:r>
    </w:p>
    <w:p w:rsidR="00C80F42" w:rsidRPr="00C80F42" w:rsidRDefault="00C80F42" w:rsidP="00C80F4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С целью укрепления здоровья, мотивации к ведению активного образа жизни реализуется ежегодно  план  мероприятий по поэтапному внедрению ВСТК ГТО на территории Канского района. В рамках ГТО предусматривается сдача спортивных нормативов в 11 возрастных группах, начиная с шести лет.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тесты по ГТО прошли обучающиеся общеобразовательных школ района  и сотрудники учреждений Канского района.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районе кроме районных соревнований проводятся и Всероссийские акции, такие как: «Лыжня России» (с 2009 года), и «Кросс нации» (с 2009 года),  «Лед надежды нашей» (с 2017 г.), в которых активное участие принимают жители Канского района.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 2017 году в Канском районе работают 52 человека штатных физкультурных работников.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Из общего числа работников: 28 человек - учителя школ. В  2017 году  одной из важных проблем  является кадровый ресурс отрасли спорта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спортивных клубах по месту жительства граждан Канского района: только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6 человек работают  штатными инструкторами в спортивных  клубах по месту жительства при сельских клубах, остальные 9 инструкторов являются совместителями. С высшим образованием работают 23 человека (учителя физкультуры в СОШ), со средним физкультурным – 27 человек.</w:t>
      </w:r>
    </w:p>
    <w:p w:rsidR="00C80F42" w:rsidRPr="00C80F42" w:rsidRDefault="00C80F42" w:rsidP="00C80F42">
      <w:pPr>
        <w:keepNext/>
        <w:tabs>
          <w:tab w:val="left" w:pos="23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школах осуществляют свою деятельность 28 штатных работников физической культуры и спорта. Их работа осуществляется по следующим основным направлениям: </w:t>
      </w:r>
    </w:p>
    <w:p w:rsidR="00C80F42" w:rsidRPr="00C80F42" w:rsidRDefault="00C80F42" w:rsidP="00C80F42">
      <w:pPr>
        <w:keepNext/>
        <w:tabs>
          <w:tab w:val="left" w:pos="720"/>
          <w:tab w:val="left" w:pos="23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Привлечение большего количества обучающихся к занятиям спорта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уроках физкультуры.</w:t>
      </w:r>
      <w:proofErr w:type="gramEnd"/>
    </w:p>
    <w:p w:rsidR="00C80F42" w:rsidRPr="00C80F42" w:rsidRDefault="00C80F42" w:rsidP="00C80F42">
      <w:pPr>
        <w:keepNext/>
        <w:tabs>
          <w:tab w:val="left" w:pos="23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2.  Выявление у обучающихся способностей к различным видам спорта.</w:t>
      </w:r>
    </w:p>
    <w:p w:rsidR="00C80F42" w:rsidRPr="00C80F42" w:rsidRDefault="00C80F42" w:rsidP="00C80F42">
      <w:pPr>
        <w:keepNext/>
        <w:tabs>
          <w:tab w:val="left" w:pos="23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3. Подготовка обучающихся к соревнованиям и спартакиадам различных уровней.</w:t>
      </w:r>
    </w:p>
    <w:p w:rsidR="00C80F42" w:rsidRPr="00C80F42" w:rsidRDefault="00C80F42" w:rsidP="00C80F42">
      <w:pPr>
        <w:keepNext/>
        <w:tabs>
          <w:tab w:val="left" w:pos="23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На 1 января 2018  года в Канском районе имеется 105 спортивных сооружений: 48 плоскостных сооружений, 23 спортивных зала, 2 лыжные базы, 1 тир, 31 единица различных спортивных сооружений </w:t>
      </w:r>
    </w:p>
    <w:p w:rsidR="00C80F42" w:rsidRPr="00C80F42" w:rsidRDefault="00C80F42" w:rsidP="00C80F42">
      <w:pPr>
        <w:keepNext/>
        <w:shd w:val="clear" w:color="auto" w:fill="FFFFFF"/>
        <w:tabs>
          <w:tab w:val="left" w:pos="330"/>
          <w:tab w:val="right" w:pos="9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Численность занимающихся физической культурой в дошкольных учреждениях в 2017 году составила 1196 человек, в образовательных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учреждениях – 2808 человек, в образовательных учреждениях среднего профессионального образования - 22 человека, в СШ «Олимпиец» и ДЮСШ «Барс» - 351 человек, в физкультурно-спортивных клубах по месту жительства – 3926  человек. 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C80F42" w:rsidRPr="00C80F42" w:rsidRDefault="00C80F42" w:rsidP="00C80F42">
      <w:pPr>
        <w:keepNext/>
        <w:tabs>
          <w:tab w:val="left" w:pos="23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В 2017г. на базе ДЮСШ «Олимпиец» создано структурное подразделение «Центр по оказанию услуг среди разных групп населения в области физической культуры и спорта», в которое вошли инструктора по спорту клубов по месту жительства.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Члены спортивных клубов по месту жительства  занимаются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следующим видам спорта: баскетбол, волейбол, легкая атлетика, лыжные гонки, настольный теннис, рукопашный бой, спортивное ориентирование, спортивный туризм, футбол, хоккей, хоккей с мячом, шахматы, шашки,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дартс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   </w:t>
      </w:r>
      <w:proofErr w:type="gramEnd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     Просматривается ежегодная динамика систематически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занимающихся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физической культурой и спортом в Канском районе. С каждым годом интерес населения к занятиям физической культурой и спортом растет, т.к. создаются все возможные условия для занятий спортом.  Физической культуре и спорту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Канском районе придается особое значение в системе профилактики правонарушений. Опыт показывает, что эффективность физической культуры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спорта в профилактической деятельности по охране и укреплению здоровья,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борьбе с наркоманией, алкоголизмом, курением и правонарушениями, особенно среди молодежи, исключительно высока. Все спортивно-массовые мероприятия, проводимые на территории района, освещаются в средствах массовой информации, проводятся для пропаганды здорового образа жизни.     </w:t>
      </w:r>
    </w:p>
    <w:p w:rsidR="00C80F42" w:rsidRPr="00C80F42" w:rsidRDefault="00C80F42" w:rsidP="00D707E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целях реализации муниципальной программы  в 2017 году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физическую культуру и спорт  реализованы финансовые средства в объёме 419,7 тыс. рублей. В 2018 году запланированы средства для получения спортивного инвентаря и оборудования, изготовление надписей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на приобретенную спортивную форму, а также софинансирование на участие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краевых конкурсах на получение субсидии на капитальный ремонт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СШ «Олимпиец» и  </w:t>
      </w:r>
      <w:r w:rsidRPr="00C80F42">
        <w:rPr>
          <w:rFonts w:ascii="Times New Roman CYR" w:hAnsi="Times New Roman CYR" w:cs="Times New Roman CYR"/>
          <w:spacing w:val="-4"/>
          <w:sz w:val="28"/>
          <w:szCs w:val="28"/>
        </w:rPr>
        <w:t>на создание новых и поддержку действующих спортивных клубов по месту жительства.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Arial CYR" w:hAnsi="Arial CYR" w:cs="Arial CYR"/>
          <w:sz w:val="20"/>
          <w:szCs w:val="20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населения, систематически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занимающихся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физической культурой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спортом в 2017 году составила 43,28% ,  увеличилась на 1,39 процентных пункта  по сравнению с 2016 годом.  В 2017 году по сравнению с 2016 годом численность лиц систематически занимающихся физической культурой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спортом выросла с 10018 человек до 10300  человек. Рост численности населения, систематически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занимающихся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физической культурой и спортом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2017 году произошел за счет:</w:t>
      </w:r>
    </w:p>
    <w:p w:rsidR="00C80F42" w:rsidRPr="00C80F42" w:rsidRDefault="00C80F42" w:rsidP="00C80F42">
      <w:pPr>
        <w:keepNext/>
        <w:shd w:val="clear" w:color="auto" w:fill="FFFFFF"/>
        <w:tabs>
          <w:tab w:val="left" w:pos="330"/>
          <w:tab w:val="right" w:pos="9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внедрения Всероссийского физкультурно-спортивного  комплекса ГТО, </w:t>
      </w:r>
    </w:p>
    <w:p w:rsidR="00C80F42" w:rsidRPr="00C80F42" w:rsidRDefault="00C80F42" w:rsidP="00C80F42">
      <w:pPr>
        <w:keepNext/>
        <w:shd w:val="clear" w:color="auto" w:fill="FFFFFF"/>
        <w:tabs>
          <w:tab w:val="left" w:pos="330"/>
          <w:tab w:val="right" w:pos="9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вовлечения населения Канского района   в физкультуру  и спорт для сдачи нормативов ВФСК ГТО в районе;</w:t>
      </w:r>
    </w:p>
    <w:p w:rsidR="00C80F42" w:rsidRPr="00C80F42" w:rsidRDefault="00C80F42" w:rsidP="00C80F42">
      <w:pPr>
        <w:keepNext/>
        <w:shd w:val="clear" w:color="auto" w:fill="FFFFFF"/>
        <w:tabs>
          <w:tab w:val="left" w:pos="330"/>
          <w:tab w:val="right" w:pos="9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активной деятельности членов спортивных клубов по месту жительства;</w:t>
      </w:r>
    </w:p>
    <w:p w:rsidR="00C80F42" w:rsidRPr="00C80F42" w:rsidRDefault="00C80F42" w:rsidP="00C80F42">
      <w:pPr>
        <w:keepNext/>
        <w:shd w:val="clear" w:color="auto" w:fill="FFFFFF"/>
        <w:tabs>
          <w:tab w:val="left" w:pos="330"/>
          <w:tab w:val="right" w:pos="9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привлечение жителей Канского района в спортивно-массовые мероприятия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2017 году.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прогнозе на 2018-2020 гг. планируется, что доля населения, систематически занимающегося физической культурой и спортом увеличится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2018г. - до 44,28%,  в 2019г. - до 45,28%,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2020г. - до 46,28%.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23.1.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по сравнению с 2016 годом численность лиц обучающихся, систематически занимающихся физической культурой и спортом увеличилась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с 5853 человек до 5858 человек (от общей  численности детей в возрасте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от 0 до 17 лет, это составило – 100%, что на 7,68 процентных пункта   выше, чем в 2016 году – 92,32%). </w:t>
      </w:r>
      <w:proofErr w:type="gramEnd"/>
    </w:p>
    <w:p w:rsidR="00C80F42" w:rsidRPr="00C80F42" w:rsidRDefault="00C80F42" w:rsidP="00C80F42">
      <w:pPr>
        <w:keepNext/>
        <w:shd w:val="clear" w:color="auto" w:fill="FFFFFF"/>
        <w:tabs>
          <w:tab w:val="left" w:pos="330"/>
          <w:tab w:val="right" w:pos="9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Стабильно  высокая доля учеников, занимающихся спортом, связана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со следующими факторами:</w:t>
      </w:r>
    </w:p>
    <w:p w:rsidR="00C80F42" w:rsidRPr="00C80F42" w:rsidRDefault="00C80F42" w:rsidP="00C80F42">
      <w:pPr>
        <w:keepNext/>
        <w:shd w:val="clear" w:color="auto" w:fill="FFFFFF"/>
        <w:tabs>
          <w:tab w:val="left" w:pos="426"/>
          <w:tab w:val="right" w:pos="93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внедрение Всероссийского физкультурно-спортивного комплекса ГТО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территории Канского района в образовательных учреждениях. Ученики сдавали нормы ГТО, систематически тренировались, вовлекаясь в спортивно-массовые соревнования;</w:t>
      </w:r>
    </w:p>
    <w:p w:rsidR="00C80F42" w:rsidRPr="00C80F42" w:rsidRDefault="00C80F42" w:rsidP="00C80F42">
      <w:pPr>
        <w:keepNext/>
        <w:shd w:val="clear" w:color="auto" w:fill="FFFFFF"/>
        <w:tabs>
          <w:tab w:val="left" w:pos="426"/>
          <w:tab w:val="right" w:pos="93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активизация деятельности членов спортивных клубов по месту жительства,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а также деятельности ФСК в образовательных учреждениях.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прогнозе на 2018-2020 гг. планируется, что доля учащихся 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студентов,  систематически занимающихся физической культурой и спортом незначительно уменьшится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, в пределах 3 процентных пунктов ежегодно.   Постепенное уменьшение</w:t>
      </w:r>
      <w:r w:rsidRPr="00C80F42">
        <w:rPr>
          <w:rFonts w:ascii="Calibri" w:hAnsi="Calibri" w:cs="Calibri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учащихся,  систематически занимающихся физической культурой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>и спортом, связано со снижением  численности обучающихся.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Общая площадь жилых помещений, приходящаяся в среднем на одного жителя всего, в том числе введенная в действие за один год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площадь жилищного фонда на конец года по данным формы № 1-жилфонд составляет 520190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Общая площадь жилых помещений, приходящаяся в среднем на одного жителя в 2017 году составила 20,6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2018 г. показатель останется неизменным 20,6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  За счет уменьшения численности населения в 2019-2020 гг. данный показатель будет увеличиваться:   в 2019 г. - 20,8 кв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.м.2020-20,9кв.м.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введено жилья 2135,0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Подъем объемов ввода жилья составил 34% по сравнению с 2016 г. (1593,0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.). Строительство ведется гражданами за счет сре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дств  кр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едитов банков, ипотечных кредитов,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материнского капитала и собственных средств. В 2018 году не ожидается ввод жилья.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24.1 Общая площадь жилых помещений, приходящаяся в среднем </w:t>
      </w:r>
      <w:r w:rsidR="00D707E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>на одного жителя, введенная в действие за год.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Общая площадь жилых помещений, приходящаяся в среднем на одного жителя, введенная в действие в 2017 году, составила 0,08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По оценке в 2018 году составит 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В прогнозном периоде 2019-2020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г.г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данный показатель составит на уровне 2018 года. Жилье на территории района в последние годы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основном строится  гражданами за счет собственных средств и кредитов банков.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559"/>
        <w:gridCol w:w="1265"/>
        <w:gridCol w:w="977"/>
        <w:gridCol w:w="887"/>
        <w:gridCol w:w="992"/>
      </w:tblGrid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Ввод жилья, кв. метров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предыдущий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прогноз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Введено всего,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1593,00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2135,0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1455,0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2135,0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многоквартирное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80F42">
        <w:rPr>
          <w:rFonts w:ascii="Arial CYR" w:hAnsi="Arial CYR" w:cs="Arial CYR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C80F42" w:rsidRPr="00D707E4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Реализация программы жилищного строительства рассчитана, в первую очередь, на строительство индивидуальных жилых домов усадебного типа повышенной комфортности, обустроенные локальными системами жизнеобеспечения (водоснабжения, канализация, теплоснабжение, информационные коммуникации), включающих подсобные хозяйства (мини-фермы) рассчитанной на развитие индивидуальной сельскохозяйственной деятельности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В 2017 году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 предоставлено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32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 земельных участков под строительство индивидуальных жилых домов, общей площадью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53 158 м</w:t>
      </w:r>
      <w:proofErr w:type="gramStart"/>
      <w:r w:rsidRPr="00D707E4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>2</w:t>
      </w:r>
      <w:proofErr w:type="gramEnd"/>
      <w:r w:rsidRPr="00D707E4">
        <w:rPr>
          <w:rFonts w:ascii="Times New Roman CYR" w:hAnsi="Times New Roman CYR" w:cs="Times New Roman CYR"/>
          <w:sz w:val="28"/>
          <w:szCs w:val="28"/>
        </w:rPr>
        <w:t>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Расшифровка значений показателя с указанием площади земельных участков, используемых при расчете, по предложенной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428"/>
        <w:gridCol w:w="1252"/>
        <w:gridCol w:w="965"/>
        <w:gridCol w:w="952"/>
        <w:gridCol w:w="992"/>
      </w:tblGrid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0F42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Площадь предоставленных земельных участков, </w:t>
            </w:r>
            <w:proofErr w:type="gramStart"/>
            <w:r w:rsidRPr="00C80F42">
              <w:rPr>
                <w:rFonts w:ascii="Times New Roman CYR" w:hAnsi="Times New Roman CYR" w:cs="Times New Roman CYR"/>
                <w:sz w:val="28"/>
                <w:szCs w:val="28"/>
              </w:rPr>
              <w:t>Га</w:t>
            </w:r>
            <w:proofErr w:type="gramEnd"/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предыдущий период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прогноз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2020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Площадь земельных участков, предоставленных для строительства, всего: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      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 xml:space="preserve">для жилищного строительства (в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. для   ИЖС)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14,14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5,3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для комплексного освоения в целях жилищного строительства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0F42">
              <w:rPr>
                <w:rFonts w:ascii="Times New Roman CYR" w:hAnsi="Times New Roman CYR" w:cs="Times New Roman CYR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0F42">
              <w:rPr>
                <w:rFonts w:ascii="Times New Roman CYR" w:hAnsi="Times New Roman CYR" w:cs="Times New Roman CYR"/>
              </w:rPr>
              <w:t>1,5</w:t>
            </w:r>
          </w:p>
        </w:tc>
      </w:tr>
    </w:tbl>
    <w:p w:rsidR="00C80F42" w:rsidRPr="00D707E4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07E4">
        <w:rPr>
          <w:rFonts w:ascii="Times New Roman CYR" w:hAnsi="Times New Roman CYR" w:cs="Times New Roman CYR"/>
          <w:sz w:val="28"/>
          <w:szCs w:val="28"/>
        </w:rPr>
        <w:t xml:space="preserve">Площадь земельных участков, предоставленных для жилищного строительства в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2017г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. составила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5,3 га</w:t>
      </w:r>
      <w:proofErr w:type="gramStart"/>
      <w:r w:rsidRPr="00D707E4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 w:rsidRPr="00D707E4">
        <w:rPr>
          <w:rFonts w:ascii="Times New Roman CYR" w:hAnsi="Times New Roman CYR" w:cs="Times New Roman CYR"/>
          <w:sz w:val="28"/>
          <w:szCs w:val="28"/>
        </w:rPr>
        <w:t xml:space="preserve">по оценке в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2018г. – 5,3 га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в прогнозном периоде в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2019г. -5,3 га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., в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2020 г. – 5,3 га</w:t>
      </w:r>
      <w:r w:rsidRPr="00D707E4">
        <w:rPr>
          <w:rFonts w:ascii="Times New Roman CYR" w:hAnsi="Times New Roman CYR" w:cs="Times New Roman CYR"/>
          <w:sz w:val="28"/>
          <w:szCs w:val="28"/>
        </w:rPr>
        <w:t>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707E4">
        <w:rPr>
          <w:rFonts w:ascii="Times New Roman CYR" w:hAnsi="Times New Roman CYR" w:cs="Times New Roman CYR"/>
          <w:sz w:val="28"/>
          <w:szCs w:val="28"/>
        </w:rPr>
        <w:t xml:space="preserve">Площадь земельных участков, предоставленных для комплексного освоения в целях жилищного строительства в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2017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 году составила –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0 га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.; </w:t>
      </w:r>
      <w:r w:rsidR="00D707E4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по оценке в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2018году составит 1 га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D707E4">
        <w:rPr>
          <w:rFonts w:ascii="Times New Roman CYR" w:hAnsi="Times New Roman CYR" w:cs="Times New Roman CYR"/>
          <w:sz w:val="28"/>
          <w:szCs w:val="28"/>
        </w:rPr>
        <w:t>Анцирском</w:t>
      </w:r>
      <w:proofErr w:type="spellEnd"/>
      <w:r w:rsidRPr="00D707E4">
        <w:rPr>
          <w:rFonts w:ascii="Times New Roman CYR" w:hAnsi="Times New Roman CYR" w:cs="Times New Roman CYR"/>
          <w:sz w:val="28"/>
          <w:szCs w:val="28"/>
        </w:rPr>
        <w:t xml:space="preserve"> сельсовете, так как имеются площади под застройку.; в прогнозном периоде в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2019 году- 1 га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707E4">
        <w:rPr>
          <w:rFonts w:ascii="Times New Roman CYR" w:hAnsi="Times New Roman CYR" w:cs="Times New Roman CYR"/>
          <w:bCs/>
          <w:sz w:val="28"/>
          <w:szCs w:val="28"/>
        </w:rPr>
        <w:t>2020 – 1 га</w:t>
      </w:r>
      <w:r w:rsidRPr="00D707E4">
        <w:rPr>
          <w:rFonts w:ascii="Times New Roman CYR" w:hAnsi="Times New Roman CYR" w:cs="Times New Roman CYR"/>
          <w:sz w:val="28"/>
          <w:szCs w:val="28"/>
        </w:rPr>
        <w:t xml:space="preserve"> - прогнозируется оформление генеральных планов новых территории, где будут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выделены площади под комплексную застройку.</w:t>
      </w:r>
      <w:proofErr w:type="gramEnd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 для комплексного освоения в целях жилищного  строительства участки не предоставлялись в 2018 – 2020 гг. планируется предоставление по одному земельному участку.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году не выделялись земельные участки для строительства объектов, не являющихся объектами жилищного строительства.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Площадь земельных участков, предоставленных для строительства, </w:t>
      </w:r>
      <w:r w:rsidR="00D707E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отношении которых 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даты принятия</w:t>
      </w:r>
      <w:proofErr w:type="gramEnd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Всего в 2017 году предоставлено 32 земельных участков общей площадью 53 158 м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26.1.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объектов жилищного строительства - в течение 3 лет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За период 2015- 2017гг. составляет 146 857 м</w:t>
      </w:r>
      <w:proofErr w:type="gramStart"/>
      <w:r w:rsidRPr="00C80F42"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proofErr w:type="gramEnd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данные взяты </w:t>
      </w:r>
      <w:r w:rsidR="00D707E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с предоставленного реестра введенных жилых помещений. Плановый период 2018-2020 гг</w:t>
      </w:r>
      <w:r w:rsidR="00BA10E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принят на уровне факта 2017 года.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16"/>
          <w:szCs w:val="16"/>
        </w:rPr>
      </w:pP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33"/>
        <w:gridCol w:w="1391"/>
        <w:gridCol w:w="2171"/>
        <w:gridCol w:w="1417"/>
        <w:gridCol w:w="1234"/>
        <w:gridCol w:w="1583"/>
      </w:tblGrid>
      <w:tr w:rsidR="00C80F42" w:rsidRPr="00C80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и строительный адрес объекта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ИЖС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кв.м</w:t>
            </w:r>
            <w:proofErr w:type="spellEnd"/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Срок действия разрешения на строительство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 xml:space="preserve">Общая площадь </w:t>
            </w:r>
            <w:r w:rsidRPr="00C80F4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жилищного строительства </w:t>
            </w: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 xml:space="preserve">на предоставленном земельном участке, </w:t>
            </w:r>
            <w:proofErr w:type="spellStart"/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кв.м</w:t>
            </w:r>
            <w:proofErr w:type="spellEnd"/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. (проектная)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ахтинский,.Березовая,2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1603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26.11.2015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№24-18-34-2015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26.11.2025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50,6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Набережная,13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1994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№RU24518000-2 02/02/2015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02.02.2025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77,4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.Л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евобережное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ул.Трактовая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№6А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1000,0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19.11.2015 №24-18-33-2015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19.11.2015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78,0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илимоново,ул.1-я Полевая,д.9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2114,0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17.11.2015 №24-18-32-2015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17.11.2025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123,3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.Л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евобережноеул.Болотная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30.10.2015 №24-18-31-2015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30.10.2025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175,9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ул.Лазурная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1369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14.10.2015 №24-18-30-2015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14.10.2025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112,2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шкаул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ул.Набережная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дом 15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14.10.2015 №24-18-29-2015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14.10.2025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240,0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 xml:space="preserve">ечеул,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ул.Западная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№1Г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1042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30.09.2015 №24-18-28-2015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30.09.2025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48,00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ул.Лесная,38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1485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24.09.2015 №24-18-27-2015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24.09.2025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1480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18.09.2015 №24-18-26-2015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18.09.2025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127,1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илимоново,ул.Южная,№5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05.08.2015 №24-18-25-2015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05.08.2025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31,9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ечеул,ул.Солнечная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10.07.2015 №24-18-22-2015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01.07.2025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150,9  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одояйск,ул.Набережная,19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1766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15.05.2015 №RU24518000-20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15.05.2025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84,2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c.Чечеул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троительная,1а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15.05.2015 №RU24518000-19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15.05.2025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133,9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пер.Западный,1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14.05.2015 №RU24518000-18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14.05.2025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50,3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овый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Путь,ул.Зеленая,д.23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2003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12.05.2015 № RU24518000-17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12.05.2025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88,6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ечеул,ул.Солнечная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1157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12.05.2015 № RU24518000-16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12.05.2025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77,1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ольшая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Уря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ул.Солнечная,1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1697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14.04.2015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14.04.2025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 xml:space="preserve">ечеул,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ул.Западная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,№ 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23.03.2015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23.03.2025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нцирь,ул.Но</w:t>
            </w:r>
            <w:r w:rsidRPr="00C80F42">
              <w:rPr>
                <w:rFonts w:ascii="Times New Roman CYR" w:hAnsi="Times New Roman CYR" w:cs="Times New Roman CYR"/>
              </w:rPr>
              <w:lastRenderedPageBreak/>
              <w:t>востройки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д.4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1563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16.03.2015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 xml:space="preserve">№ RU24518000-9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30.01.2022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70,9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одояйск,ул.Набережная,15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1985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02.02.2015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02.02.2025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 ул.Новая,46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1299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20.02.2015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20.02.2025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186,8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 xml:space="preserve">ечеул,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ул.Западная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1а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16.03.2015 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16.03.2025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147,9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ул.Тепличная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 д 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16.03.2015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16.03.2025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105,1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.З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еленый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Луг,ул.Новая,№1Д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27.02.2015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27.02.2025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120,3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1479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02.02.2015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RU24518000-4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02.02.2025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134,2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одояйск,ул.Светлая,2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1574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15.09.2016 № 24-18-29-2016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100,8  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ул.1-я Полевая,14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1255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29.09.2016 №24-18-31-2016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29.09.2026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одояйск,ул.Тихая,1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1554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15.09.2016 № 24-18-30-2016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91,3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одояйск,ул.Светлая,4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1468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15.09.2016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№24-18-29-2016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одояйск,ул.Светлая,6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1428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15.09.2016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№24-18-28-2016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ражное,ул.Нагорная,дом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37А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1409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15.09.2016 №24-18-27-2016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08.08.2026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105,1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илимоново,ул.1 Полевая,16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1283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08.08.2016 №24-18-25-2016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08.08.2026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ахтинский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мкр.ДПМК,ул.Луговая,д.13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1482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27.06.2016 №24-18-24-2016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27.08.2016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178,8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ул.Солнечная,3</w:t>
            </w:r>
            <w:r w:rsidRPr="00C80F42"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1482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27.06.2016 №24-18-23-</w:t>
            </w:r>
            <w:r w:rsidRPr="00C80F42">
              <w:rPr>
                <w:rFonts w:ascii="Times New Roman CYR" w:hAnsi="Times New Roman CYR" w:cs="Times New Roman CYR"/>
              </w:rPr>
              <w:lastRenderedPageBreak/>
              <w:t>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27.06.2026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128,7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ул.Полевая,4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27.06.2016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 №24-18-22-2016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27.06.2026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82,1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 Спортивная,21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1686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17.06.2016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24-18-21-2016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17.06.2026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108,8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 Спортивная,16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1817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17.06.2016 №24-18-20-2016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17.06.2026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108,8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 ул.Комсомольская,2а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14.06.2016 № 24-18-19-2016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14.06.2026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93,8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Подояйск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оветская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 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1016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03.06.2016 №24-18-18-2016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03.06.2026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 1-я Полевая, дом 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1383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24.05.2016 №24-18-17-2016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24.05.2026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142,9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 xml:space="preserve">ечеул,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ул.Солнечная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1283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10.05.2016 № 24-18-15-2016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10.05.2026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1481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05.05.2016 №24-18-14-2016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05.05.2026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113,8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20.04.2016 №24-18-13-2016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20.04.2026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91,3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 Крайний, 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1925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08.04.2016 №24-18-11-2016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08.04.2026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293,8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 ул.Новая,56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04.04.2016 №24-18-12-2016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04.04.2026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108,1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илимоново,ул.Восточная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№ 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31.03.2016 №24-18-10-21-2016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31.03.2026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188,1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 Крайний, 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29.03.2016 №24-18-9-2016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29.03.2026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С.Чечеул, ул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ерезовая,21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29.03.2016 №24-18-7-2016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29.03.2026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73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 Крайний, 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1926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21.01.2016 №24-18-2-2016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21.01.2026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293,8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 Крайний, 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1926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21.01.2016 №24-18-1-2016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21.01.2026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293,8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пер.Набережный,1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1584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20.01.2017 № 24-18-3-2017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20.01.2027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108,2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нцирь,ул.Ле</w:t>
            </w:r>
            <w:r w:rsidRPr="00C80F42">
              <w:rPr>
                <w:rFonts w:ascii="Times New Roman CYR" w:hAnsi="Times New Roman CYR" w:cs="Times New Roman CYR"/>
              </w:rPr>
              <w:lastRenderedPageBreak/>
              <w:t>сная,13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07.12.2017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№2418-28-2017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07.12.2027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152,9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илимоново,ул.1-я Полевая,12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1485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07.12.2017 № 24-18-27-2017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07.12.2027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нцирь,ул.Мира,28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03.11.2017 № 24-18-26-2017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03.11.2027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257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 ул.Ленина,11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914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13.10.2017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24-18-25-2017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13.04.2018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ул.Новостройки,8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1506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05.10.2017 №24-18-24-2017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05.10.2027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ул.Советская,112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02.10.2017 №24-18-23-2017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02.10.2027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ул.Новостройки,1Б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09.06.2017 № 24-18-14-2017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09.06.2027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ул.Степная,42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22.09.2017 №24-18-21-2017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22.09.2027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84,6  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нцирь,пер.Луговой,11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18.09.2017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№24-18-20-2017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18.09.2027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96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1485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04.05.2017 №24-18-10-2017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04.05.2017 №24-18-9-2017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олнечная,13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21.08.2017 №24-18-19-2017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21.08.2027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224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 ул. Кооперативная,№9Б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1158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17.08.2017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№24-18-18-2017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17.08.2027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105,9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 ул.Солнечная,31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1074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04.08.2017 №24-18-16-2017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04.08.2027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ечеул,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овая,48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1299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22.06.2017 №24-18-15-2017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22.06.2027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нцирь,пер.Западный,5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06.11.2009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№RU24518000-25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06.11.2019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62,6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ул.Новостройки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1Б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09.06.2017 №24-18-14-2017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09.06.2027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одояйск,ул.Набережная,10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08.06.2017 №24-18-13-</w:t>
            </w:r>
            <w:r w:rsidRPr="00C80F42">
              <w:rPr>
                <w:rFonts w:ascii="Times New Roman CYR" w:hAnsi="Times New Roman CYR" w:cs="Times New Roman CYR"/>
              </w:rPr>
              <w:lastRenderedPageBreak/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08.06.2027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123,2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ражное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ул.Нагорная,37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05.05.2017 №24-18-12-2017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05.05.2027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пер.Крайний,7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1595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04.05.2017 №24-18-11-2017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195,1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04.05.2017 №24-18-9-2017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1485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04.05.2017 №24-18-10-2017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ул. Нагорная,4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1749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04.05.2017 №24-18-8-2017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04.05.2027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54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овый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путь, ул.Зеленая,63/1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10.03.2017 № 24-18-7-2017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10.03.2017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139,7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.Л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есная,11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2000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03.03.2017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№24-18-6-2017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03.03.2027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82,8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С.Сотниково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,у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л.им.А.А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. Мишуренко,д,23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2942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17.02.2017 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№24-18-5-2017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17.02.2027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119,9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ул.Набережная,12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1599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20.01.2017 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24-18-4-2017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20.01.2027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одояйск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пер.Набережный,1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1584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20.01.2017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№24-18-3-2017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20.01.2027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108,2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раснополянск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пер.Новый,№1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1798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16.01.2017 №24-18-2-2017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16.01.2027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301    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нцирь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ул.Лазурная,43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1700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16.01.2017 №24-18-1-2017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16.01.2027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72,8    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128852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9742.2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26.2.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иных объектов капитального строительства - в течение 5 лет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период 2013-2017 </w:t>
      </w:r>
      <w:proofErr w:type="spellStart"/>
      <w:proofErr w:type="gramStart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гг</w:t>
      </w:r>
      <w:proofErr w:type="spellEnd"/>
      <w:proofErr w:type="gramEnd"/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составляет 264357,5 м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Плановый период </w:t>
      </w:r>
      <w:r w:rsidR="008874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2018-2020 гг</w:t>
      </w:r>
      <w:r w:rsidR="008874F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принят на уровне факта 2017 года.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16"/>
          <w:szCs w:val="16"/>
        </w:rPr>
      </w:pPr>
      <w:r w:rsidRPr="00C80F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33"/>
        <w:gridCol w:w="1391"/>
        <w:gridCol w:w="2294"/>
        <w:gridCol w:w="1701"/>
        <w:gridCol w:w="2410"/>
      </w:tblGrid>
      <w:tr w:rsidR="00C80F42" w:rsidRPr="00C80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и строительный адрес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Площадь земельных участков, </w:t>
            </w:r>
            <w:proofErr w:type="spellStart"/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кв.м</w:t>
            </w:r>
            <w:proofErr w:type="spellEnd"/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80F42">
              <w:rPr>
                <w:rFonts w:ascii="Times New Roman CYR" w:hAnsi="Times New Roman CYR" w:cs="Times New Roman CYR"/>
                <w:sz w:val="16"/>
                <w:szCs w:val="16"/>
              </w:rPr>
              <w:t>Срок действия разрешения на строительство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Комплекс дорожного сервиса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1044 км автодороги «Байкал»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 xml:space="preserve">622 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 24518000-5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05.01.1015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Нежилое здание магазин с. Филимоново, ул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осточная,1а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205,3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 RU 24518000-2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04.08.2014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Зерносклад №1 с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илимоново,ул.1-ая Полевая,14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1255,0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14.10.2016 №24-18-32-2016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29.09.2026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Силосно-сенажные траншеи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шкаул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ул.60 лет Октября,22А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7592,0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13.05.2016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№24-18-16-2016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13.05.2017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Производственная база по переработке древесины п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ахтинский,ул.Ленина,№18 «А»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6835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29.03.2016 №24-18-8-2016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16.07.2018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Здание для молодняка КРС на 80 голов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С.Сотниково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ул.А.А.Мишуренко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31, строение 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9994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28.03.2016 № 24-18-6-2016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28.11.2016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Ферма крупного рогатого скота на 100 голов Нежилое здание бытового назначения</w:t>
            </w:r>
          </w:p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ухо-Ерша,пер.Боботка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>, 2а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4880,0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22.01.2016 № 24-18-4-2016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08.11.2016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Сооружение зерносклада №1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айна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пер.Школьный,2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1021,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№32 от 14.10.2016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rPr>
          <w:trHeight w:val="127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 xml:space="preserve">Сооружение зерносклада №1 </w:t>
            </w:r>
            <w:proofErr w:type="spellStart"/>
            <w:r w:rsidRPr="00C80F42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C80F42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C80F42">
              <w:rPr>
                <w:rFonts w:ascii="Times New Roman CYR" w:hAnsi="Times New Roman CYR" w:cs="Times New Roman CYR"/>
              </w:rPr>
              <w:t>айна</w:t>
            </w:r>
            <w:proofErr w:type="spellEnd"/>
            <w:r w:rsidRPr="00C80F42">
              <w:rPr>
                <w:rFonts w:ascii="Times New Roman CYR" w:hAnsi="Times New Roman CYR" w:cs="Times New Roman CYR"/>
              </w:rPr>
              <w:t xml:space="preserve"> пер.Школьный,2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1021,6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№33 от 14.10.2016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F42">
              <w:rPr>
                <w:rFonts w:ascii="Times New Roman CYR" w:hAnsi="Times New Roman CYR" w:cs="Times New Roman CYR"/>
                <w:b/>
                <w:bCs/>
              </w:rPr>
              <w:t>33 425.9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80F42">
              <w:rPr>
                <w:rFonts w:ascii="Times New Roman CYR" w:hAnsi="Times New Roman CYR" w:cs="Times New Roman CYR"/>
              </w:rPr>
              <w:t>Х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в которых собственники помещений должны выбрать способ управления данными домами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2017 года составляет -  100 %.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В 2018 году ожидается понижение данного показателя (95,9%) в виду нижеизложенного: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собственники помещений двух МКД (с.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Астафьевка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, ул. Пионерская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д.2 и д.4) на основании решений общих собраний в одностороннем порядке отказались  от исполнения договоров управления  многоквартирными домами, при этом,  не выбрали другой способ их управлением, тем самым нарушили часть 2 статьи 161 Жилищного кодекса Российской Федерации, согласно которой собственники помещений в многоквартирном доме обязаны выбрать один из способов управления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многоквартирным домом: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1) непосредственное управление собственниками помещений </w:t>
      </w:r>
      <w:r w:rsidRPr="00C80F42">
        <w:rPr>
          <w:rFonts w:ascii="Calibri" w:hAnsi="Calibri" w:cs="Calibri"/>
          <w:sz w:val="28"/>
          <w:szCs w:val="28"/>
        </w:rPr>
        <w:t xml:space="preserve">   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многоквартирном доме;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3) управление управляющей организацией.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В разрешении сложившейся ситуации, со стороны администрации Канского района в адрес администрации Астафьевского сельсовета  направлены рекомендательные письма о принятии мер в порядке, установленном Постановлением Правительством Российской Федерации от 06.02.2006 №75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    По итогам проведения мероприятий по отбору управляющих  организаций для управления многоквартирными домами  показатель на 2019-2020 годы составит  - 100 %.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о-</w:t>
      </w:r>
      <w:proofErr w:type="gramEnd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осуществляющих</w:t>
      </w:r>
      <w:proofErr w:type="gramEnd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2017 году данная доля составила 100%, на уровне 2016 года. По оценке в 2018 году и прогнозный период 2019-2020 годы останется без изменения. </w:t>
      </w:r>
      <w:r w:rsidR="008874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района осуществляли свою деятельность 11 организаций коммунального комплекса, 10 из них являются организациями частной формы собственности, участие в уставном капитале  субъекта Российской Федерации </w:t>
      </w:r>
      <w:r w:rsidR="008874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и муниципального района отсутствует, и 1 предприятие МУП «Филимоновский жилищный комплекс» является муниципальным.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по теплоснабжению предприятиями ЖКХ предоставляются </w:t>
      </w:r>
      <w:r w:rsidR="008874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15-ти населенных пунктах,  услуги по </w:t>
      </w:r>
      <w:r w:rsidRPr="00C80F42">
        <w:rPr>
          <w:rFonts w:ascii="Times New Roman CYR" w:hAnsi="Times New Roman CYR" w:cs="Times New Roman CYR"/>
          <w:sz w:val="28"/>
          <w:szCs w:val="28"/>
        </w:rPr>
        <w:t>водоснабжению в 23 селах.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 году тарифы на водоснабжение, водоотведения и теплоснабжение для предприятий ЖКХ утверждены Региональной энергетической комиссией Красноярского края.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Доля многоквартирных домов, расположенных на земельных участках,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отношении которых осуществлен государственный кадастровый учет, в 2017 году составила 1,82%. Из 2549 земельных участков, расположенных под многоквартирными домами, государственный кадастровый учет земельных участков  осуществлен  под 49 домами. В связи с уточнением расчетов, данный показатель подлежит корректировке в 2015 и 2016 году. С 2018 по 2020 данный показатель будет откорректирован, в случае увеличения количества земельных участков, в отношении которых проведен государственный кадастровый учет.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134"/>
        <w:gridCol w:w="993"/>
        <w:gridCol w:w="1417"/>
      </w:tblGrid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2680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дома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2631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многоквартирные дома, имеющие помещения общего </w:t>
            </w: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дома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многоквартирные дома, имеющие помещения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</w:tr>
      <w:tr w:rsidR="00C80F42" w:rsidRPr="00C80F42" w:rsidTr="00BA1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</w:rPr>
              <w:t>1,82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A10ED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gramStart"/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C80F42" w:rsidRPr="00C80F42" w:rsidRDefault="00C80F42" w:rsidP="00BA10ED">
      <w:pPr>
        <w:keepNext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0" w:firstLine="10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конец 2017 года в комиссии по жилищным вопросам при администрации Канского района на получение жилья состояло на учете 92 семьи, в отделе опеки и попечительства администрации Канского района 128 сирот 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>детей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оставшихся без попечения родителей, итого: 220 семей,  из них </w:t>
      </w:r>
      <w:r w:rsidR="008874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2 многодетных семьи, 6 молодых семей, состоящих на учете в качестве нуждающихся в жилых помещениях на конец периода,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65семей состояло </w:t>
      </w:r>
      <w:r w:rsidR="008874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>на учете в качестве нуждающихся в жилых помещениях по договорам социального найма.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На конец отчетного периода 21 семья улучшила жилищные условия, </w:t>
      </w:r>
      <w:r w:rsidR="008874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 них 1 молодая семья, 6 семей получили жилые помещения по договорам социального найма. </w:t>
      </w:r>
    </w:p>
    <w:p w:rsidR="00C80F42" w:rsidRPr="00C80F42" w:rsidRDefault="00C80F42" w:rsidP="00C80F42">
      <w:pPr>
        <w:keepNext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Доля населения, получившего жилые помещения и улучшившего жилищные условия, в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общей численности населения, состоящего на учете </w:t>
      </w:r>
      <w:r w:rsidR="008874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</w:t>
      </w:r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>в качестве нуждающегося в жилых помещениях составляет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7,06%.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959"/>
        <w:gridCol w:w="1276"/>
        <w:gridCol w:w="1125"/>
        <w:gridCol w:w="9"/>
        <w:gridCol w:w="696"/>
        <w:gridCol w:w="13"/>
        <w:gridCol w:w="709"/>
        <w:gridCol w:w="712"/>
      </w:tblGrid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ab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предыдущий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отчетный период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прогноз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2020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proofErr w:type="gramStart"/>
            <w:r w:rsidRPr="00C80F42">
              <w:rPr>
                <w:rFonts w:ascii="Times New Roman CYR" w:hAnsi="Times New Roman CYR" w:cs="Times New Roman CYR"/>
                <w:highlight w:val="white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5,88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7,06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7,69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7,69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7,69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 xml:space="preserve">численность населения (семей), получившего жилые помещения и улучшившего жилищные условия </w:t>
            </w:r>
            <w:r w:rsidRPr="00C80F42">
              <w:rPr>
                <w:rFonts w:ascii="Times New Roman CYR" w:hAnsi="Times New Roman CYR" w:cs="Times New Roman CYR"/>
                <w:b/>
                <w:bCs/>
                <w:highlight w:val="white"/>
              </w:rPr>
              <w:t>по договору социального найма</w:t>
            </w:r>
            <w:r w:rsidRPr="00C80F42">
              <w:rPr>
                <w:rFonts w:ascii="Times New Roman CYR" w:hAnsi="Times New Roman CYR" w:cs="Times New Roman CYR"/>
                <w:highlight w:val="white"/>
              </w:rPr>
              <w:t xml:space="preserve"> в отчетном году</w:t>
            </w:r>
            <w:r w:rsidRPr="00C80F42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5</w:t>
            </w:r>
          </w:p>
        </w:tc>
      </w:tr>
      <w:tr w:rsidR="00C80F42" w:rsidRPr="00C80F42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highlight w:val="white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 w:rsidRPr="00C80F42">
              <w:rPr>
                <w:rFonts w:ascii="Times New Roman CYR" w:hAnsi="Times New Roman CYR" w:cs="Times New Roman CYR"/>
                <w:b/>
                <w:bCs/>
                <w:highlight w:val="white"/>
              </w:rPr>
              <w:t>по договорам социального найма</w:t>
            </w:r>
            <w:r w:rsidRPr="00C80F42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C80F42">
              <w:rPr>
                <w:rFonts w:ascii="Times New Roman CYR" w:hAnsi="Times New Roman CYR" w:cs="Times New Roman CYR"/>
                <w:b/>
                <w:bCs/>
                <w:highlight w:val="white"/>
              </w:rPr>
              <w:t>на конец прошлого года</w:t>
            </w:r>
            <w:r w:rsidRPr="00C80F42">
              <w:rPr>
                <w:rFonts w:ascii="Times New Roman CYR" w:hAnsi="Times New Roman CYR" w:cs="Times New Roman CYR"/>
                <w:highlight w:val="white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42" w:rsidRPr="00C80F42" w:rsidRDefault="00C80F42" w:rsidP="00C80F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0F4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65</w:t>
            </w:r>
          </w:p>
        </w:tc>
      </w:tr>
    </w:tbl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lastRenderedPageBreak/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муниципального управления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налоговых и неналоговых доходов местного бюджета </w:t>
      </w:r>
      <w:r w:rsidR="008874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Канский район является высокодотационной территорией, свыше 50% занимают поступления из краевого бюджета. Доля собственных доходов местного бюджета (за исключением поступлений налоговых доходов по дополнительным нормативам отчислений) в общем объеме доходов бюджета Канского района без учета субвенций за 2015 – 20,76%, 2016 – 24,59%, в 2017 – 24,88%, в прогнозном периоде 2018 – 26,28%, 2019 – 26,68%, 2020 – 26,88%.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Доля собственных доходов местного бюджета в общем объеме доходов бюджета без учета субвенций в 2017 году в сравнении с 2016 годом увеличился на 1,2%.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Основные факторы, повлиявшие на изменение объема (уменьшение, увеличение) и структуру собственных доходов бюджета в 2017 году: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Увеличено поступление доходов в бюджет района за счет следующих налоговых и неналоговых поступлений: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1.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счет увеличения поступления налога на прибыль организаций.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За 2017 год налог на прибыль поступил в сумме 577,3 тыс. руб. В 2016 году поступило налога в сумме 265,1 тыс. руб. Оплата налога в 2017 году увеличилось в три раза от ООО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Комстройэкспоцентр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», за счет увеличения объемов выпускаемой продукции (в 2017 году организацией перечислено в бюджет Канского района налога в сумме 328,5 тыс. руб., в 2016–100,8 тыс. руб.).</w:t>
      </w:r>
      <w:proofErr w:type="gramEnd"/>
    </w:p>
    <w:p w:rsidR="00C80F42" w:rsidRPr="00C80F42" w:rsidRDefault="00C80F42" w:rsidP="00C80F42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2.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счет увеличения поступления налога на доходы физических лиц.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За 2017 год поступил НДФЛ в консолидированный бюджет района в сумме 62099,6 тыс. руб. В 2016 году сумма поступившего налога составила 54972,6 тыс. руб. Рост составил 113,0%. В 2017 году (согласно майским Указам президента) произошло повышение заработной платы определенным категориям работников бюджетной сферы. Также в 2017 году произошел рост заработной платы работников сельскохозяйственных предприятий.</w:t>
      </w:r>
    </w:p>
    <w:p w:rsidR="00C80F42" w:rsidRPr="00C80F42" w:rsidRDefault="00C80F42" w:rsidP="00C80F42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В 2017 году погашена недоимка прошлых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лет ООО «Массив» в сумме 388,1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тыс. руб., ООО «Таежное» в сумме 248,1 тыс. руб., ООО «Канский ГМЗ»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сумме 805,7 тыс. руб. 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3.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счет увеличения поступления единого сельскохозяйственного налога.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За 2017 поступило единого сельскохозяйственного налога в сумме 11397,4 тыс. руб., в 2016 году в сумме 8592,2 тыс. руб. Увеличение составило 32,6%.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году по годовым расчетам за 2016 год поступил налог от ЗАО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Большеуринское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" в сумме 3776,7 тыс. руб.,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в 2016 поступило налога 2166,6 </w:t>
      </w:r>
      <w:r w:rsidRPr="00C80F42">
        <w:rPr>
          <w:rFonts w:ascii="Times New Roman CYR" w:hAnsi="Times New Roman CYR" w:cs="Times New Roman CYR"/>
          <w:sz w:val="28"/>
          <w:szCs w:val="28"/>
        </w:rPr>
        <w:t>тыс. руб. по годовым расчетам за 2015 год.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В 2017 году по годовым расчетам за 2016 год поступил налог от ОАО "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Тайнинское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" в сумме 901,2 тыс. руб., в 2016 поступило налога 140,0 тыс. руб. по годовым расчетам за 2015 год.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году по годовым расчетам за 2016 год поступил налог от ОАО "Новотаежное" в сумме 1123,4 тыс. руб., в 2016 поступило налога 232,2 тыс. руб. по годовым расчетам за 2015 год.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Увеличение поступления единого сельскохозяйственного налога связано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тем что, в 2015 году вводились основные средства в эксплуатацию, затраты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80F42">
        <w:rPr>
          <w:rFonts w:ascii="Times New Roman CYR" w:hAnsi="Times New Roman CYR" w:cs="Times New Roman CYR"/>
          <w:sz w:val="28"/>
          <w:szCs w:val="28"/>
        </w:rPr>
        <w:t>по их приобретению были списаны на финансовый результат. Кроме того, урожайность зерновых по району за 2016 год была увеличена на 20%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по отношению к 2015 году.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4.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счет увеличения поступления налога, взимаемого в связи с применением патентной системы налогообложения. 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На территории района в 2017 году зарегистрировано пять предпринимателей, работающих на патентной системе налогообложения. Сумма налога составила 56,4 тыс. руб. </w:t>
      </w:r>
    </w:p>
    <w:p w:rsidR="00C80F42" w:rsidRPr="00C80F42" w:rsidRDefault="00C80F42" w:rsidP="00C80F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В 2016 году получено налога в сумме 26,8 тыс. руб. (в 2016 году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на территории района было зарегистрировано три предпринимателя, работающих на патентной системе налогообложения).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5.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счет увеличения поступления налога на имущество физических лиц. 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2017 год поступило налога на имущество физических лиц в сумме 1592,2 тыс. руб., то есть в 2017 году налог увеличился на 195,5 тыс. руб.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сравнении с 2016 годом. Темп роста к 2016 году составил 14,0%. Рост поступления налога связан как с ростом ввода и постановки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регистрационный учет нового жилья, так и в связи приватизацией.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6.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счет увеличения поступления земельного налога. </w:t>
      </w:r>
    </w:p>
    <w:p w:rsidR="00C80F42" w:rsidRPr="00C80F42" w:rsidRDefault="00C80F42" w:rsidP="00C80F42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2017 год земельный налог поступил в сумме 11247,2 тыс. руб. За 2016 год поступил налог в сумме 10316,2 тыс. руб. Темп роста к 2016 году составил 9,0%. Рост поступления земельного налога произошел за счет погашения недоимки прошлых лет: НОУ ДПО "Канская техническая школа" в сумме 400,8 тыс. руб., ООО "Транс - М" в сумме 462,8 тыс. руб. </w:t>
      </w:r>
    </w:p>
    <w:p w:rsidR="00C80F42" w:rsidRPr="00C80F42" w:rsidRDefault="00C80F42" w:rsidP="00C80F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Снижение поступления земельного налога в 2017 году произошло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Браженской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территории. С 1554,2 тыс. руб.  в 2016 году до 409,9 тыс. руб.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2017 году. Это связано с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тем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что в 2015 году налоговым органом произведена выездная налоговая проверка правильности начисления и уплаты земельного налога ОАО «Канская сортоиспытательная станция» за три предыдущих года. После проверки акционерное общество в 2016 году перечислило дополнительно в бюджет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Браженского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сельсовета 1088,9 тыс. руб.</w:t>
      </w:r>
    </w:p>
    <w:p w:rsidR="00C80F42" w:rsidRPr="00C80F42" w:rsidRDefault="00C80F42" w:rsidP="00C80F42">
      <w:pPr>
        <w:keepNext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7.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За счет увеличения поступления доходов, получаемых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земельных участков (за исключением земельных участков бюджетных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автономных учреждений). </w:t>
      </w:r>
    </w:p>
    <w:p w:rsidR="00C80F42" w:rsidRPr="00C80F42" w:rsidRDefault="00C80F42" w:rsidP="00C80F42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Поступила в 2017 году арендная плата в сумме 389,6 тыс. руб., в 2016 году поступило 61,9 тыс. руб. Увеличение поступления данного дохода связано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заключением договоров на аренду земельных участков в 2017 году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Анцирской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Чечеульской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территории. </w:t>
      </w:r>
    </w:p>
    <w:p w:rsidR="00C80F42" w:rsidRPr="00C80F42" w:rsidRDefault="00C80F42" w:rsidP="00C80F42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8.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>За счет увеличения поступлений штрафов, санкций, возмещения ущерба. За 2017 год поступило штрафов, санкции, возмещения ущерба в сумме 2676,7 тыс. руб., увеличение к 2016 году составило 544,5 тыс. руб.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Увеличение произошло за счет денежных взысканий (штрафов), налагаемых службой по ветеринарному надзору Красноярского края в сумме 521,5 тыс. руб. </w:t>
      </w:r>
    </w:p>
    <w:p w:rsidR="00C80F42" w:rsidRPr="00C80F42" w:rsidRDefault="00C80F42" w:rsidP="00C80F42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9.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>В 2017 году поступила дебиторская задолженность в сумме 210,4 тыс. руб., в 2016 году поступили платежи в сумме 84,9 тыс. руб.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Снизилось поступление доходов в бюджет района за счет следующих налоговых и неналоговых поступлений:</w:t>
      </w:r>
    </w:p>
    <w:p w:rsidR="00C80F42" w:rsidRPr="00C80F42" w:rsidRDefault="00C80F42" w:rsidP="00C80F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1.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Снижено поступление отчислений в бюджеты от акцизов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инжекторных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) двигателей в 2017 году на 32,9% по отношению к 2016 году. В 2017 году произошло снижение дифференцированного норматива отчислений до 71,7%, в связи с изменением федерального законодательства за счет снижения нормативов распределения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бюджеты субъектов со 100% (январь-май 2016 года) и 88% (июнь-декабрь 2016 года) до 61,7%, снижение доли края с 2,39%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2,1635%.</w:t>
      </w:r>
    </w:p>
    <w:p w:rsidR="00C80F42" w:rsidRPr="00C80F42" w:rsidRDefault="00C80F42" w:rsidP="00C80F4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2.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Снижено поступление единого налога на вмененный доход. В 2017 году поступило в бюджет налога в сумме 2963,6 тыс. руб., в 2016 году в сумме 3257,4 тыс. руб. Снизилось поступление налога ном за счет уменьшения количества плательщиков ЕНВД на 11,3%. Уменьшение численности субъектов малого предпринимательства (далее – СМП), обусловлено ежегодным ростом налоговой нагрузки на 1 СМП по ЕНВД. Увеличилось количество населенных пунктов, в которых отсутствуют объекты торговли, где проживает не более 200 человек. Закрываются нерентабельные объекты розничной торговли, объекты бытового обслуживания населения.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3.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>Снижено поступление государственной пошлины на 76,5 тыс. руб.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За 2017 поступило государственной пошлины в сумме 285,7 тыс. руб., в 2016 году в сумме 362,2 тыс. руб. Снижение поступления государственной пошлины в 2017 году составило 21,1%.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Государственная пошлина по делам, рассматриваемых в судах общей юрисдикции, мировыми судьями (за исключением Верховного суда Российской Федерации) поступила в бюджет 2017 года в сумме 41,4 тыс. руб., что составило 26,5% от поступившей государственной пошлины в 2016 году.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В 2016-2017 годах в бюджет ошибочно было зачислена государственная пошлина.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Поступление государственной пошлины за совершение нотариальных действий должностными лицами органами местного самоуправления в 2017 году увеличилось на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21,7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% и составила 244,2 тыс. руб. Это связано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увеличением числа обращений граждан за совершением нотариальных действий по оформлению документов на недвижимость и земельные участки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частную собственность.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4.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>В 2017 году возвращена излишне уплаченная реструктуризируемая задолженность по земельному налогу ЗАО «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Арефьевское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» в сумме 40,5 тыс. руб. В 2016 году погашена задолженность по земельному налогу в сумме 132,0 тыс. руб.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5.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сельских, поступили в 2017 году на 600,0 тыс. руб. (7900,1 тыс. руб.) меньше, чем в 2016 году (8500,1 тыс. руб.). В 2017 году продано в собственность 27 земельных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участков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что привело к уменьшению арендной платы.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6.</w:t>
      </w:r>
      <w:r w:rsidRPr="00C80F42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поступили в 2017 году в сумме 399,8 тыс. руб., в 2016 году поступило в сумме 1544,5 тыс. руб. Не оплачены платежи 2017 года по аренде имущества ООО "Коммунальщик Канского района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" в сумме 1065,0 тыс. руб.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Мокрушинскому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сельсовету.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7.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Доходы от сдачи в аренду имущества, составляющего казну муниципальных районов (за исключением земельных участков). Доходы 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2017 год составили 3084,3 тыс. руб., в 2016 году 3773,7 тыс. руб. На снижение поступления доходов от аренды имущества повлияла передача объектов жилищно-коммунального хозяйства (тепловые сети, котельные, водопроводные сети, башни, скважины, канализационные сети) на право заключения концессионных соглашений. Концессионная плата в конкурсной документации не предусмотрена (п. 1.1. ст. 7 Закона от 21.07.2005 № 115-ФЗ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«О концессионных соглашениях).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8.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Исполнение за 2017 год по плате за негативное воздействие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окружающую среду составило 787,6 тыс. руб., 2016 год поступило 1217,0 тыс. руб. Снижение поступления составило 35,3%. Повлияло снижение плательщиками размера авансовых платежей в 2017 году исходя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из фактического поступления за 2016 год.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 9.</w:t>
      </w:r>
      <w:r w:rsidRPr="00C80F42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Исполнение за 2017 год по доходам от оказания платных услуг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компенсации затрат составило 641,1 тыс. руб., за 2016 год поступило 729,3 тыс. руб. или снижено поступление на 12,1%, в том числе поступление доходов от оказания платных услуг снизилось в 2017 году на 28,7%. Данное снижение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>произошло за счет уменьшения посещаемости платных мероприятий населением, проводимых учреждениями культуры.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Проводится работа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работниками культуры по улучшению качества предоставляемых платных услуг. ЦКС сельских администраций передали часть полномочий по созданию условий для организации досуга и обеспечения жителей услугами организации культуры с 01.09.2017 на уровень района.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    10.</w:t>
      </w:r>
      <w:r w:rsidRPr="00C80F42">
        <w:rPr>
          <w:rFonts w:ascii="Times New Roman CYR" w:hAnsi="Times New Roman CYR" w:cs="Times New Roman CYR"/>
          <w:sz w:val="28"/>
          <w:szCs w:val="28"/>
        </w:rPr>
        <w:tab/>
        <w:t xml:space="preserve"> Доходы от продажи материальных и нематериальных активов за 2017 год получены в сумме 790,4 тыс. руб., в 2016 году получены в сумме 3835,8 тыс. руб., в том числе: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доходы от реализации имущества снизились в 2017 году в сравнении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2016 годом на 1637,5 тыс. руб. Реализация проведена в соответствии с планом приватизации муниципального имущества в полном объеме;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уменьшились доходы от продажи земельных участков в сравнении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с 2016 годом на 1507,9 тыс. руб. Снижены обращение граждан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за предоставление в собственность земельных участков под объектами недвижимости, также выкупом земельных участков организациями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индивидуальными предпринимателями.          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2017 году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 составила  0%. Организаций муниципальной формы собственности, находящихся в стадии банкротства нет. В  2018 году прогнозном периоде 2019-2020гг. появление организаций - банкротов муниципальной формы собственности не ожидается.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30"/>
          <w:szCs w:val="30"/>
        </w:rPr>
        <w:t>На территории не ведется строительство за счет средств районного бюджета Канского района. В 2017 году о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бъем не завершенного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в установленные сроки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строительства, осуществляемого за счет средств районного бюджета Канского района  составляет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 0%. По оценке в 2018г.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и прогнозном периоде  2019-2020гг. строительство за счет средств районного бюджета не планируется.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lastRenderedPageBreak/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</w:t>
      </w:r>
      <w:r w:rsidR="008874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объеме расходов муниципального образования на оплату труда (включая начисления на оплату труда)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left="20" w:right="20" w:firstLine="6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>Задолженность по оплате труда и начисления на оплату труда</w:t>
      </w:r>
      <w:r w:rsidR="008874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Pr="00C80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бюджетных и казенных учреждениях Канского района отсутствует.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Общий объем расходов консолидированного бюджета МО Канский район за 2017 год составил 965 323,0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в 2016 году 935 652,6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., то есть расходная часть уменьшился на 2,0 % (29 670,4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.). Бюджет Канского района является программным и состоит: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из 9 муниципальных программ в районном бюджете на сумму 891894,2 тыс. руб.;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из 30 муниципальных программ в бюджетах поселений на сумму 104740,2 тыс. руб.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За счет средств бюджета произведены расходы: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- 2 000,0 тыс. рублей - на приобретение квартир в муниципальную собственность;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- 371,6 тыс. рублей на приобретение дорожных знаков;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 xml:space="preserve">805,3 тыс. руб. – на приобретены малых архитектурных форм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для благоустройства сельских территорий; </w:t>
      </w:r>
      <w:proofErr w:type="gramEnd"/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- 100,0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 – спортинвентарь;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- 626,5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 - оборудование для сельских клубов;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- 386,2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 – электрические измерения сетей и электрооборудования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(38 учреждений);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- 2500,0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 – текущий ремонт учреждений образования;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- 95,1 тыс. руб. - мероприятия по землеустройству и землепользованию, произведена топографическая съёмка 6 земельных участков;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- 307,5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. - оценка муниципального имущества, признание прав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и регулирование отношений по муниципальной собственности, произведена оценка 155 объектов;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- 228,3 тыс. руб. взносы на капитальный ремонт муниципального жилья;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Просроченная задолженность по оплате труда и начисления на оплату труда в бюджетных и казенных учреждениях Канского района отсутствует.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Публичных нормативных обязательств за 2017 год исполнено на сумму 950,0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., в том числе: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ab/>
        <w:t>муниципальные пенсии 950,0 тыс. руб.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Объем расходов бюджета муниципального образования Канского района на содержание работников органов местного самоуправления в расчете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одного жителя муниципального образования ежегодно увеличивается за счет снижения численности населения в Канском районе.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Расходы 2017 года, по сравнению с 2016 годом увеличились на 4,5%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и составили 3280,4 руб. Данное увеличение произошло в связи с ростом тарифов на потребление коммунальных услуг, услуг связи.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По оценке в 2018 году расходы увеличатся на 5%, потому как помимо роста тарифов, с 01.01.2018 произошло увеличение заработной платы работникам бюджетной сферы на 4%.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К 2020 году расходы увеличатся на 2,9% по отношению к 2017 году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и составят 3374,38 руб.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C80F42" w:rsidRPr="00C80F42" w:rsidRDefault="00C80F42" w:rsidP="00C80F42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Схема территориального планирования муниципального района утверждена решением Канского районного Совета депутатов 17.12.2009г.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Удовлетворенность населения деятельностью местного самоуправления городского округа (муниципального района)</w:t>
      </w:r>
    </w:p>
    <w:p w:rsidR="00C80F42" w:rsidRPr="00C80F42" w:rsidRDefault="00C80F42" w:rsidP="008874F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Удовлетворенность населения  деятельностью местного самоуправления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2017 году составила 41,1% и по сравнению с 2016 годом понизилась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12,7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процентных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пункта. Значительное снижение удовлетворенности населения деятельностью органов  местного самоуправления произошло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по показателю "Удовлетворенность жилищным строительством и обеспечение жильем" (на 6,6 процентных пункта по сравнению с 2016 годом), что отрицательно повлияло на показатель по удовлетворенности населения деятельностью органов местного самоуправления в целом. На территории Канского района жилищное строительство юридическими лицами  в 2017 году не велось. В последние годы жилищное строительство  в основном ведется населением за счет собственных средств и кредитов банков.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Среднегодовая численность постоянного населения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Среднегодовая численность постоянного населения района в 2017 году составила 25429 человека (99,12 % к предыдущему году). На 01.01.2018 года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по данным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Красноярскстата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 xml:space="preserve"> на территории Канского района проживало 25316 человек. Снижение численности населения произошло в основном за счет миграционного оттока населения.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По оценке 2018г. численность населения района сократится на 0,84 %.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В прогнозируемом периоде ожидается снижение численности населения: в 2019г – на 0,75% и в 2020г – на 0,68 % (по сравнению с предыдущим годом). Снижение численности прогнозируется в основном за счет миграционного оттока населения.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lastRenderedPageBreak/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left="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Arial CYR" w:hAnsi="Arial CYR" w:cs="Arial CYR"/>
          <w:sz w:val="20"/>
          <w:szCs w:val="20"/>
        </w:rPr>
        <w:t xml:space="preserve">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электрической энергии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многоквартирных домах в 2017 году составила 975,06 кВт/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на одного проживающего, что на 140,94 кВт/ч меньше, чем в 2016 году. Уменьшение показателя обусловлено заменой ламп накаливания на лампы энергосберегающие в местах общего пользования и жилых помещениях. Так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же были даны разъяснения населению о проведении энергосберегающих мероприятий, таких как установка энергосберегающих бытовых приборов.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В прогнозном периоде 2018-2019 гг. планируется  удельная величина потребления электрической энергии на одного проживающего остаться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на уровне 2017 года. </w:t>
      </w:r>
    </w:p>
    <w:p w:rsidR="00C80F42" w:rsidRPr="00C80F42" w:rsidRDefault="00C80F42" w:rsidP="00C80F42">
      <w:pPr>
        <w:keepNext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тепловой энергии в многоквартирных домах в 2017 году составила 0,440 Гкал на 1 кв. метр общей площади,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по сравнению с 2016 годом показатель увеличился на 0,063 Гкал в связи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 с утверждением новых нормативов по теплоснабжению. С 2018 года показатель будет оставаться на уровне 2016 года.</w:t>
      </w:r>
    </w:p>
    <w:p w:rsidR="00C80F42" w:rsidRPr="00C80F42" w:rsidRDefault="00C80F42" w:rsidP="00C80F42">
      <w:pPr>
        <w:keepNext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горячей воды в многоквартирных домах  в 2017 году составила 13,15 куб. метров на одного проживающего, что на 2,15 куб. метров больше  2016 года. Незначительное увеличение объемов потребления ресурса сложилось в результате низких температур наружного воздуха в зимний период. По прогнозу к 2019 году показатель будет оставаться на уровне 2016года. </w:t>
      </w:r>
    </w:p>
    <w:p w:rsidR="00C80F42" w:rsidRPr="00C80F42" w:rsidRDefault="00C80F42" w:rsidP="00C80F42">
      <w:pPr>
        <w:keepNext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холодной воды в многоквартирных домах в 2017 году составила 24,12 куб. метров на одного проживающего, что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5,84 куб. метров  меньше, чем в 2016 году.  Уменьшение за счет установки приборов учета.  В прогнозном периоде 2018-2020 гг. планируется оставаться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уровне показателя в 2017 году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Природного газа нет, потребление отсутствует.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Удельная величина потребления электрической энергии муниципальными бюджетными учреждениями на одного человека населения  в 2017 году составила 191,88  кВт/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, что на 24,01  кВт/ч больше,  чем в 2016 году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1 человека населения. Общее потребление электрической энергии в 2017 году бюджетными учреждениями составило 4879,526 </w:t>
      </w:r>
      <w:proofErr w:type="spellStart"/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тыс</w:t>
      </w:r>
      <w:proofErr w:type="spellEnd"/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кВт/ч, население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в 2017 году составило 25429 чел.  По оценке в 2018 и прогнозном периоде 2019-</w:t>
      </w:r>
      <w:r w:rsidRPr="00C80F42">
        <w:rPr>
          <w:rFonts w:ascii="Times New Roman CYR" w:hAnsi="Times New Roman CYR" w:cs="Times New Roman CYR"/>
          <w:sz w:val="28"/>
          <w:szCs w:val="28"/>
        </w:rPr>
        <w:lastRenderedPageBreak/>
        <w:t xml:space="preserve">2020 годы прогнозируется  потребления энергетических ресурсов муниципальными бюджетными учреждениями на одного человека населения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80F42">
        <w:rPr>
          <w:rFonts w:ascii="Times New Roman CYR" w:hAnsi="Times New Roman CYR" w:cs="Times New Roman CYR"/>
          <w:sz w:val="28"/>
          <w:szCs w:val="28"/>
        </w:rPr>
        <w:t>на 1 кВт/ч 193кВт/ч.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тепловой энергии муниципальными бюджетными учреждениями в 2017 году по сравнению с 2016  годом уменьшилась на 0,022 Гкал на 1 кв. метр и составила 0,154 Гкал на 1 кв. метр общей площади. Общее потребление тепловой энергии в 2017 году бюджетными учреждениями составило 17382 Гкал (статистическая форма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1-теп), </w:t>
      </w:r>
      <w:proofErr w:type="gramStart"/>
      <w:r w:rsidRPr="00C80F42">
        <w:rPr>
          <w:rFonts w:ascii="Times New Roman CYR" w:hAnsi="Times New Roman CYR" w:cs="Times New Roman CYR"/>
          <w:sz w:val="28"/>
          <w:szCs w:val="28"/>
        </w:rPr>
        <w:t>площадь, занимаемая бюджетными учреждениями осталась</w:t>
      </w:r>
      <w:proofErr w:type="gramEnd"/>
      <w:r w:rsidRPr="00C80F42">
        <w:rPr>
          <w:rFonts w:ascii="Times New Roman CYR" w:hAnsi="Times New Roman CYR" w:cs="Times New Roman CYR"/>
          <w:sz w:val="28"/>
          <w:szCs w:val="28"/>
        </w:rPr>
        <w:t xml:space="preserve"> неизменна - 112668,7 </w:t>
      </w:r>
      <w:proofErr w:type="spellStart"/>
      <w:r w:rsidRPr="00C80F4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C80F42">
        <w:rPr>
          <w:rFonts w:ascii="Times New Roman CYR" w:hAnsi="Times New Roman CYR" w:cs="Times New Roman CYR"/>
          <w:sz w:val="28"/>
          <w:szCs w:val="28"/>
        </w:rPr>
        <w:t>. По оценке в 2018 и прогнозном периоде 2019-2020 годы прогнозируется  потребление тепловой энергии муниципальными бюджетными учреждениями 0,230 Гкал на 1кв.м.</w:t>
      </w:r>
    </w:p>
    <w:p w:rsidR="00C80F42" w:rsidRPr="00C80F42" w:rsidRDefault="00C80F42" w:rsidP="00C80F42">
      <w:pPr>
        <w:keepNext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горячей воды муниципальными бюджетными учреждениями в 2017 году составила 0,150 куб. метров на одного человека населения, по сравнению с 2016 годом показатель уменьшился 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 xml:space="preserve">на 0,087 куб. метра. Общее потребление горячей воды бюджетными учреждениями в 2017 году составило 3882,374 куб. м., среднегодовая численность населения в 2017 году составила - 25429 чел. По оценке в 2018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году </w:t>
      </w:r>
      <w:r w:rsidRPr="00C80F42">
        <w:rPr>
          <w:rFonts w:ascii="Times New Roman CYR" w:hAnsi="Times New Roman CYR" w:cs="Times New Roman CYR"/>
          <w:sz w:val="28"/>
          <w:szCs w:val="28"/>
        </w:rPr>
        <w:t>и прогнозном периоде 2019-2020  годы данный показатель будет  возрастать.</w:t>
      </w:r>
    </w:p>
    <w:p w:rsidR="00C80F42" w:rsidRPr="00C80F42" w:rsidRDefault="00C80F42" w:rsidP="00C80F42">
      <w:pPr>
        <w:keepNext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холодной воды муниципальными бюджетными учреждениями в 2017 году составила 0,760  куб. метров на одного человека населения, по сравнению с 2016 годом показатель уменьшился </w:t>
      </w:r>
      <w:r w:rsidR="008874F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80F42">
        <w:rPr>
          <w:rFonts w:ascii="Times New Roman CYR" w:hAnsi="Times New Roman CYR" w:cs="Times New Roman CYR"/>
          <w:sz w:val="28"/>
          <w:szCs w:val="28"/>
        </w:rPr>
        <w:t>на 0,126 куб. метров. В 2017 году объем водопотребления бюджетными учреждениями составил 19415,847 куб. м., среднегодовая численность населения в 2017 году составила - 25429 чел. По оценке в 2018 и прогнозном периоде 2019-2020 годы данный показатель будет незначительно выше уровня 2017 года.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0F42">
        <w:rPr>
          <w:rFonts w:ascii="Times New Roman CYR" w:hAnsi="Times New Roman CYR" w:cs="Times New Roman CYR"/>
          <w:sz w:val="28"/>
          <w:szCs w:val="28"/>
        </w:rPr>
        <w:t>Природного газа нет, потребление отсутствует.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80F42">
        <w:rPr>
          <w:rFonts w:ascii="Arial CYR" w:hAnsi="Arial CYR" w:cs="Arial CYR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  <w:r w:rsidRPr="00C8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X. </w:t>
      </w:r>
      <w:r w:rsidRPr="00C80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Проблемы при формировании доклада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C80F42" w:rsidRPr="00C80F42" w:rsidRDefault="00C80F42" w:rsidP="00C80F4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0F42">
        <w:rPr>
          <w:rFonts w:ascii="Arial" w:hAnsi="Arial" w:cs="Arial"/>
          <w:sz w:val="20"/>
          <w:szCs w:val="20"/>
        </w:rPr>
        <w:t xml:space="preserve"> </w:t>
      </w:r>
    </w:p>
    <w:p w:rsidR="002D40B8" w:rsidRDefault="002D40B8" w:rsidP="00C80F42">
      <w:pPr>
        <w:keepNext/>
        <w:spacing w:after="0" w:line="240" w:lineRule="auto"/>
      </w:pPr>
    </w:p>
    <w:sectPr w:rsidR="002D40B8" w:rsidSect="00957814">
      <w:headerReference w:type="default" r:id="rId8"/>
      <w:footerReference w:type="default" r:id="rId9"/>
      <w:pgSz w:w="12240" w:h="15840"/>
      <w:pgMar w:top="851" w:right="850" w:bottom="1134" w:left="1701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4E" w:rsidRDefault="00E8044E" w:rsidP="00957814">
      <w:pPr>
        <w:spacing w:after="0" w:line="240" w:lineRule="auto"/>
      </w:pPr>
      <w:r>
        <w:separator/>
      </w:r>
    </w:p>
  </w:endnote>
  <w:endnote w:type="continuationSeparator" w:id="0">
    <w:p w:rsidR="00E8044E" w:rsidRDefault="00E8044E" w:rsidP="0095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58163"/>
      <w:docPartObj>
        <w:docPartGallery w:val="Page Numbers (Bottom of Page)"/>
        <w:docPartUnique/>
      </w:docPartObj>
    </w:sdtPr>
    <w:sdtContent>
      <w:p w:rsidR="00957814" w:rsidRDefault="009578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ED">
          <w:rPr>
            <w:noProof/>
          </w:rPr>
          <w:t>1</w:t>
        </w:r>
        <w:r>
          <w:fldChar w:fldCharType="end"/>
        </w:r>
      </w:p>
    </w:sdtContent>
  </w:sdt>
  <w:p w:rsidR="00957814" w:rsidRDefault="00957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4E" w:rsidRDefault="00E8044E" w:rsidP="00957814">
      <w:pPr>
        <w:spacing w:after="0" w:line="240" w:lineRule="auto"/>
      </w:pPr>
      <w:r>
        <w:separator/>
      </w:r>
    </w:p>
  </w:footnote>
  <w:footnote w:type="continuationSeparator" w:id="0">
    <w:p w:rsidR="00E8044E" w:rsidRDefault="00E8044E" w:rsidP="0095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14" w:rsidRDefault="00957814">
    <w:pPr>
      <w:pStyle w:val="a3"/>
    </w:pPr>
  </w:p>
  <w:p w:rsidR="00957814" w:rsidRDefault="009578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C48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9"/>
    <w:rsid w:val="00296C39"/>
    <w:rsid w:val="002C48A7"/>
    <w:rsid w:val="002D40B8"/>
    <w:rsid w:val="008874F0"/>
    <w:rsid w:val="00900B20"/>
    <w:rsid w:val="00957814"/>
    <w:rsid w:val="00BA10ED"/>
    <w:rsid w:val="00C80F42"/>
    <w:rsid w:val="00D707E4"/>
    <w:rsid w:val="00E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0F42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F42"/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80F42"/>
  </w:style>
  <w:style w:type="paragraph" w:styleId="a3">
    <w:name w:val="header"/>
    <w:basedOn w:val="a"/>
    <w:link w:val="a4"/>
    <w:uiPriority w:val="99"/>
    <w:unhideWhenUsed/>
    <w:rsid w:val="0095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814"/>
  </w:style>
  <w:style w:type="paragraph" w:styleId="a5">
    <w:name w:val="footer"/>
    <w:basedOn w:val="a"/>
    <w:link w:val="a6"/>
    <w:uiPriority w:val="99"/>
    <w:unhideWhenUsed/>
    <w:rsid w:val="0095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0F42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F42"/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80F42"/>
  </w:style>
  <w:style w:type="paragraph" w:styleId="a3">
    <w:name w:val="header"/>
    <w:basedOn w:val="a"/>
    <w:link w:val="a4"/>
    <w:uiPriority w:val="99"/>
    <w:unhideWhenUsed/>
    <w:rsid w:val="0095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814"/>
  </w:style>
  <w:style w:type="paragraph" w:styleId="a5">
    <w:name w:val="footer"/>
    <w:basedOn w:val="a"/>
    <w:link w:val="a6"/>
    <w:uiPriority w:val="99"/>
    <w:unhideWhenUsed/>
    <w:rsid w:val="0095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43</Pages>
  <Words>14815</Words>
  <Characters>84452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2018-04-27T09:57:00Z</dcterms:created>
  <dcterms:modified xsi:type="dcterms:W3CDTF">2018-04-27T10:31:00Z</dcterms:modified>
</cp:coreProperties>
</file>